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26" w:rsidRPr="009D418A" w:rsidRDefault="002E6E26" w:rsidP="00E74E0C">
      <w:pPr>
        <w:rPr>
          <w:lang w:val="en-US"/>
        </w:rPr>
      </w:pPr>
    </w:p>
    <w:p w:rsidR="002E6E26" w:rsidRPr="00CF2926" w:rsidRDefault="002E6E26" w:rsidP="00E74E0C"/>
    <w:p w:rsidR="002E6E26" w:rsidRPr="00CF2926" w:rsidRDefault="002E6E26" w:rsidP="00E74E0C"/>
    <w:p w:rsidR="002E6E26" w:rsidRPr="00CF2926" w:rsidRDefault="002E6E26" w:rsidP="00E74E0C"/>
    <w:p w:rsidR="002E6E26" w:rsidRPr="00CF2926" w:rsidRDefault="002E6E26" w:rsidP="00E74E0C"/>
    <w:p w:rsidR="002E6E26" w:rsidRPr="00CF2926" w:rsidRDefault="002E6E26" w:rsidP="00E74E0C"/>
    <w:p w:rsidR="00B17032" w:rsidRPr="00CF2926" w:rsidRDefault="00B17032" w:rsidP="00E74E0C"/>
    <w:p w:rsidR="002E6E26" w:rsidRPr="00B17032" w:rsidRDefault="002E6E26" w:rsidP="002E6E26">
      <w:pPr>
        <w:pStyle w:val="VedrAlt6"/>
        <w:rPr>
          <w:b/>
        </w:rPr>
      </w:pPr>
      <w:r w:rsidRPr="00B17032">
        <w:rPr>
          <w:b/>
        </w:rPr>
        <w:t xml:space="preserve">kontrakt </w:t>
      </w:r>
    </w:p>
    <w:p w:rsidR="002E6E26" w:rsidRDefault="002E6E26" w:rsidP="002E6E26"/>
    <w:p w:rsidR="00B17032" w:rsidRDefault="00B17032" w:rsidP="002E6E26"/>
    <w:p w:rsidR="002E6E26" w:rsidRDefault="00E3772B" w:rsidP="002E6E26">
      <w:r>
        <w:t>om p</w:t>
      </w:r>
      <w:r w:rsidR="002E6E26">
        <w:t xml:space="preserve">roduktion og distribution af </w:t>
      </w:r>
      <w:proofErr w:type="spellStart"/>
      <w:r w:rsidR="002E6E26">
        <w:t>Folketings-tv</w:t>
      </w:r>
      <w:proofErr w:type="spellEnd"/>
      <w:r w:rsidR="002E6E26">
        <w:t xml:space="preserve"> på det digitale jordbaserede tv-net </w:t>
      </w:r>
    </w:p>
    <w:p w:rsidR="002E6E26" w:rsidRDefault="002E6E26" w:rsidP="002E6E26"/>
    <w:p w:rsidR="002E6E26" w:rsidRDefault="002E6E26" w:rsidP="002E6E26"/>
    <w:p w:rsidR="002E6E26" w:rsidRDefault="002E6E26" w:rsidP="002E6E26">
      <w:r>
        <w:t xml:space="preserve">mellem </w:t>
      </w:r>
    </w:p>
    <w:p w:rsidR="002E6E26" w:rsidRDefault="002E6E26" w:rsidP="002E6E26"/>
    <w:p w:rsidR="002E6E26" w:rsidRDefault="002E6E26" w:rsidP="002E6E26">
      <w:r>
        <w:t>Folketinget</w:t>
      </w:r>
    </w:p>
    <w:p w:rsidR="002E6E26" w:rsidRDefault="002E6E26" w:rsidP="002E6E26">
      <w:r>
        <w:t>Christiansborg</w:t>
      </w:r>
    </w:p>
    <w:p w:rsidR="002E6E26" w:rsidRDefault="002E6E26" w:rsidP="002E6E26">
      <w:r>
        <w:t>1240 København K</w:t>
      </w:r>
    </w:p>
    <w:p w:rsidR="002E6E26" w:rsidRDefault="002E6E26" w:rsidP="002E6E26"/>
    <w:p w:rsidR="002E6E26" w:rsidRDefault="002E6E26" w:rsidP="002E6E26">
      <w:r>
        <w:t>og</w:t>
      </w:r>
    </w:p>
    <w:p w:rsidR="002E6E26" w:rsidRDefault="002E6E26" w:rsidP="002E6E26"/>
    <w:p w:rsidR="002E6E26" w:rsidRDefault="00B17032" w:rsidP="002E6E26">
      <w:r>
        <w:t>[Leverandøren]</w:t>
      </w:r>
    </w:p>
    <w:p w:rsidR="002E6E26" w:rsidRDefault="002E6E26" w:rsidP="002E6E26">
      <w:r>
        <w:t>(herefter "Leverandøren")</w:t>
      </w:r>
    </w:p>
    <w:p w:rsidR="002E6E26" w:rsidRDefault="002E6E26" w:rsidP="002E6E26"/>
    <w:p w:rsidR="002E6E26" w:rsidRDefault="002E6E26" w:rsidP="002E6E26">
      <w:r>
        <w:t>(herefter i fællesskab betegnet "Parterne")</w:t>
      </w:r>
    </w:p>
    <w:p w:rsidR="002E6E26" w:rsidRDefault="002E6E26" w:rsidP="002E6E26">
      <w:pPr>
        <w:jc w:val="left"/>
      </w:pPr>
    </w:p>
    <w:p w:rsidR="00C43D15" w:rsidRDefault="00C43D15">
      <w:pPr>
        <w:jc w:val="left"/>
      </w:pPr>
    </w:p>
    <w:p w:rsidR="00C43D15" w:rsidRDefault="00C43D15">
      <w:pPr>
        <w:jc w:val="left"/>
      </w:pPr>
    </w:p>
    <w:p w:rsidR="00C43D15" w:rsidRDefault="00C43D15">
      <w:pPr>
        <w:jc w:val="left"/>
      </w:pPr>
      <w:r>
        <w:br w:type="page"/>
      </w:r>
    </w:p>
    <w:p w:rsidR="00CA08A9" w:rsidRPr="007D08B6" w:rsidRDefault="00CA08A9" w:rsidP="00D95D0F">
      <w:pPr>
        <w:tabs>
          <w:tab w:val="num" w:pos="851"/>
          <w:tab w:val="left" w:pos="5670"/>
        </w:tabs>
      </w:pPr>
      <w:bookmarkStart w:id="0" w:name="IndholdDK"/>
      <w:r>
        <w:rPr>
          <w:spacing w:val="40"/>
        </w:rPr>
        <w:lastRenderedPageBreak/>
        <w:t>INDHOLDSFORTEGNELSE</w:t>
      </w:r>
    </w:p>
    <w:p w:rsidR="00CA08A9" w:rsidRPr="007D08B6" w:rsidRDefault="00CA08A9" w:rsidP="00D95D0F"/>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r w:rsidRPr="00D00EDD">
        <w:rPr>
          <w:spacing w:val="0"/>
        </w:rPr>
        <w:fldChar w:fldCharType="begin"/>
      </w:r>
      <w:r w:rsidR="00CA08A9">
        <w:instrText xml:space="preserve"> TOC \o "1-1" \h \z </w:instrText>
      </w:r>
      <w:r w:rsidRPr="00D00EDD">
        <w:rPr>
          <w:spacing w:val="0"/>
        </w:rPr>
        <w:fldChar w:fldCharType="separate"/>
      </w:r>
      <w:hyperlink w:anchor="_Toc413331548" w:history="1">
        <w:r w:rsidR="006B3734" w:rsidRPr="005B0CF0">
          <w:rPr>
            <w:rStyle w:val="Hyperlink"/>
            <w:noProof/>
          </w:rPr>
          <w:t>1</w:t>
        </w:r>
        <w:r w:rsidR="006B3734">
          <w:rPr>
            <w:rFonts w:asciiTheme="minorHAnsi" w:eastAsiaTheme="minorEastAsia" w:hAnsiTheme="minorHAnsi" w:cstheme="minorBidi"/>
            <w:noProof/>
            <w:szCs w:val="22"/>
          </w:rPr>
          <w:tab/>
        </w:r>
        <w:r w:rsidR="006B3734" w:rsidRPr="005B0CF0">
          <w:rPr>
            <w:rStyle w:val="Hyperlink"/>
            <w:noProof/>
          </w:rPr>
          <w:t>Definitioner</w:t>
        </w:r>
        <w:r w:rsidR="006B3734">
          <w:rPr>
            <w:noProof/>
            <w:webHidden/>
          </w:rPr>
          <w:tab/>
        </w:r>
        <w:r>
          <w:rPr>
            <w:noProof/>
            <w:webHidden/>
          </w:rPr>
          <w:fldChar w:fldCharType="begin"/>
        </w:r>
        <w:r w:rsidR="006B3734">
          <w:rPr>
            <w:noProof/>
            <w:webHidden/>
          </w:rPr>
          <w:instrText xml:space="preserve"> PAGEREF _Toc413331548 \h </w:instrText>
        </w:r>
        <w:r>
          <w:rPr>
            <w:noProof/>
            <w:webHidden/>
          </w:rPr>
        </w:r>
        <w:r>
          <w:rPr>
            <w:noProof/>
            <w:webHidden/>
          </w:rPr>
          <w:fldChar w:fldCharType="separate"/>
        </w:r>
        <w:r w:rsidR="006B3734">
          <w:rPr>
            <w:noProof/>
            <w:webHidden/>
          </w:rPr>
          <w:t>3</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49" w:history="1">
        <w:r w:rsidR="006B3734" w:rsidRPr="005B0CF0">
          <w:rPr>
            <w:rStyle w:val="Hyperlink"/>
            <w:noProof/>
          </w:rPr>
          <w:t>2</w:t>
        </w:r>
        <w:r w:rsidR="006B3734">
          <w:rPr>
            <w:rFonts w:asciiTheme="minorHAnsi" w:eastAsiaTheme="minorEastAsia" w:hAnsiTheme="minorHAnsi" w:cstheme="minorBidi"/>
            <w:noProof/>
            <w:szCs w:val="22"/>
          </w:rPr>
          <w:tab/>
        </w:r>
        <w:r w:rsidR="006B3734" w:rsidRPr="005B0CF0">
          <w:rPr>
            <w:rStyle w:val="Hyperlink"/>
            <w:noProof/>
          </w:rPr>
          <w:t>Baggrund,formål og kontraktgrundlag</w:t>
        </w:r>
        <w:r w:rsidR="006B3734">
          <w:rPr>
            <w:noProof/>
            <w:webHidden/>
          </w:rPr>
          <w:tab/>
        </w:r>
        <w:r>
          <w:rPr>
            <w:noProof/>
            <w:webHidden/>
          </w:rPr>
          <w:fldChar w:fldCharType="begin"/>
        </w:r>
        <w:r w:rsidR="006B3734">
          <w:rPr>
            <w:noProof/>
            <w:webHidden/>
          </w:rPr>
          <w:instrText xml:space="preserve"> PAGEREF _Toc413331549 \h </w:instrText>
        </w:r>
        <w:r>
          <w:rPr>
            <w:noProof/>
            <w:webHidden/>
          </w:rPr>
        </w:r>
        <w:r>
          <w:rPr>
            <w:noProof/>
            <w:webHidden/>
          </w:rPr>
          <w:fldChar w:fldCharType="separate"/>
        </w:r>
        <w:r w:rsidR="006B3734">
          <w:rPr>
            <w:noProof/>
            <w:webHidden/>
          </w:rPr>
          <w:t>3</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0" w:history="1">
        <w:r w:rsidR="006B3734" w:rsidRPr="005B0CF0">
          <w:rPr>
            <w:rStyle w:val="Hyperlink"/>
            <w:noProof/>
          </w:rPr>
          <w:t>3</w:t>
        </w:r>
        <w:r w:rsidR="006B3734">
          <w:rPr>
            <w:rFonts w:asciiTheme="minorHAnsi" w:eastAsiaTheme="minorEastAsia" w:hAnsiTheme="minorHAnsi" w:cstheme="minorBidi"/>
            <w:noProof/>
            <w:szCs w:val="22"/>
          </w:rPr>
          <w:tab/>
        </w:r>
        <w:r w:rsidR="006B3734" w:rsidRPr="005B0CF0">
          <w:rPr>
            <w:rStyle w:val="Hyperlink"/>
            <w:noProof/>
          </w:rPr>
          <w:t>Leverandørens ydelse, forhold vedr. infrastruktur og teknisk udstyr samt optioner</w:t>
        </w:r>
        <w:r w:rsidR="006B3734">
          <w:rPr>
            <w:noProof/>
            <w:webHidden/>
          </w:rPr>
          <w:tab/>
        </w:r>
        <w:r>
          <w:rPr>
            <w:noProof/>
            <w:webHidden/>
          </w:rPr>
          <w:fldChar w:fldCharType="begin"/>
        </w:r>
        <w:r w:rsidR="006B3734">
          <w:rPr>
            <w:noProof/>
            <w:webHidden/>
          </w:rPr>
          <w:instrText xml:space="preserve"> PAGEREF _Toc413331550 \h </w:instrText>
        </w:r>
        <w:r>
          <w:rPr>
            <w:noProof/>
            <w:webHidden/>
          </w:rPr>
        </w:r>
        <w:r>
          <w:rPr>
            <w:noProof/>
            <w:webHidden/>
          </w:rPr>
          <w:fldChar w:fldCharType="separate"/>
        </w:r>
        <w:r w:rsidR="006B3734">
          <w:rPr>
            <w:noProof/>
            <w:webHidden/>
          </w:rPr>
          <w:t>4</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1" w:history="1">
        <w:r w:rsidR="006B3734" w:rsidRPr="005B0CF0">
          <w:rPr>
            <w:rStyle w:val="Hyperlink"/>
            <w:noProof/>
          </w:rPr>
          <w:t>4</w:t>
        </w:r>
        <w:r w:rsidR="006B3734">
          <w:rPr>
            <w:rFonts w:asciiTheme="minorHAnsi" w:eastAsiaTheme="minorEastAsia" w:hAnsiTheme="minorHAnsi" w:cstheme="minorBidi"/>
            <w:noProof/>
            <w:szCs w:val="22"/>
          </w:rPr>
          <w:tab/>
        </w:r>
        <w:r w:rsidR="006B3734" w:rsidRPr="005B0CF0">
          <w:rPr>
            <w:rStyle w:val="Hyperlink"/>
            <w:noProof/>
          </w:rPr>
          <w:t>Samarbejdsorganisation</w:t>
        </w:r>
        <w:r w:rsidR="006B3734">
          <w:rPr>
            <w:noProof/>
            <w:webHidden/>
          </w:rPr>
          <w:tab/>
        </w:r>
        <w:r>
          <w:rPr>
            <w:noProof/>
            <w:webHidden/>
          </w:rPr>
          <w:fldChar w:fldCharType="begin"/>
        </w:r>
        <w:r w:rsidR="006B3734">
          <w:rPr>
            <w:noProof/>
            <w:webHidden/>
          </w:rPr>
          <w:instrText xml:space="preserve"> PAGEREF _Toc413331551 \h </w:instrText>
        </w:r>
        <w:r>
          <w:rPr>
            <w:noProof/>
            <w:webHidden/>
          </w:rPr>
        </w:r>
        <w:r>
          <w:rPr>
            <w:noProof/>
            <w:webHidden/>
          </w:rPr>
          <w:fldChar w:fldCharType="separate"/>
        </w:r>
        <w:r w:rsidR="006B3734">
          <w:rPr>
            <w:noProof/>
            <w:webHidden/>
          </w:rPr>
          <w:t>6</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2" w:history="1">
        <w:r w:rsidR="006B3734" w:rsidRPr="005B0CF0">
          <w:rPr>
            <w:rStyle w:val="Hyperlink"/>
            <w:noProof/>
          </w:rPr>
          <w:t>5</w:t>
        </w:r>
        <w:r w:rsidR="006B3734">
          <w:rPr>
            <w:rFonts w:asciiTheme="minorHAnsi" w:eastAsiaTheme="minorEastAsia" w:hAnsiTheme="minorHAnsi" w:cstheme="minorBidi"/>
            <w:noProof/>
            <w:szCs w:val="22"/>
          </w:rPr>
          <w:tab/>
        </w:r>
        <w:r w:rsidR="006B3734" w:rsidRPr="005B0CF0">
          <w:rPr>
            <w:rStyle w:val="Hyperlink"/>
            <w:noProof/>
          </w:rPr>
          <w:t>Testproduktion – afprøvning</w:t>
        </w:r>
        <w:r w:rsidR="006B3734">
          <w:rPr>
            <w:noProof/>
            <w:webHidden/>
          </w:rPr>
          <w:tab/>
        </w:r>
        <w:r>
          <w:rPr>
            <w:noProof/>
            <w:webHidden/>
          </w:rPr>
          <w:fldChar w:fldCharType="begin"/>
        </w:r>
        <w:r w:rsidR="006B3734">
          <w:rPr>
            <w:noProof/>
            <w:webHidden/>
          </w:rPr>
          <w:instrText xml:space="preserve"> PAGEREF _Toc413331552 \h </w:instrText>
        </w:r>
        <w:r>
          <w:rPr>
            <w:noProof/>
            <w:webHidden/>
          </w:rPr>
        </w:r>
        <w:r>
          <w:rPr>
            <w:noProof/>
            <w:webHidden/>
          </w:rPr>
          <w:fldChar w:fldCharType="separate"/>
        </w:r>
        <w:r w:rsidR="006B3734">
          <w:rPr>
            <w:noProof/>
            <w:webHidden/>
          </w:rPr>
          <w:t>7</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3" w:history="1">
        <w:r w:rsidR="006B3734" w:rsidRPr="005B0CF0">
          <w:rPr>
            <w:rStyle w:val="Hyperlink"/>
            <w:noProof/>
          </w:rPr>
          <w:t>6</w:t>
        </w:r>
        <w:r w:rsidR="006B3734">
          <w:rPr>
            <w:rFonts w:asciiTheme="minorHAnsi" w:eastAsiaTheme="minorEastAsia" w:hAnsiTheme="minorHAnsi" w:cstheme="minorBidi"/>
            <w:noProof/>
            <w:szCs w:val="22"/>
          </w:rPr>
          <w:tab/>
        </w:r>
        <w:r w:rsidR="006B3734" w:rsidRPr="005B0CF0">
          <w:rPr>
            <w:rStyle w:val="Hyperlink"/>
            <w:noProof/>
          </w:rPr>
          <w:t>Priser</w:t>
        </w:r>
        <w:r w:rsidR="006B3734">
          <w:rPr>
            <w:noProof/>
            <w:webHidden/>
          </w:rPr>
          <w:tab/>
        </w:r>
        <w:r>
          <w:rPr>
            <w:noProof/>
            <w:webHidden/>
          </w:rPr>
          <w:fldChar w:fldCharType="begin"/>
        </w:r>
        <w:r w:rsidR="006B3734">
          <w:rPr>
            <w:noProof/>
            <w:webHidden/>
          </w:rPr>
          <w:instrText xml:space="preserve"> PAGEREF _Toc413331553 \h </w:instrText>
        </w:r>
        <w:r>
          <w:rPr>
            <w:noProof/>
            <w:webHidden/>
          </w:rPr>
        </w:r>
        <w:r>
          <w:rPr>
            <w:noProof/>
            <w:webHidden/>
          </w:rPr>
          <w:fldChar w:fldCharType="separate"/>
        </w:r>
        <w:r w:rsidR="006B3734">
          <w:rPr>
            <w:noProof/>
            <w:webHidden/>
          </w:rPr>
          <w:t>7</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4" w:history="1">
        <w:r w:rsidR="006B3734" w:rsidRPr="005B0CF0">
          <w:rPr>
            <w:rStyle w:val="Hyperlink"/>
            <w:noProof/>
          </w:rPr>
          <w:t>7</w:t>
        </w:r>
        <w:r w:rsidR="006B3734">
          <w:rPr>
            <w:rFonts w:asciiTheme="minorHAnsi" w:eastAsiaTheme="minorEastAsia" w:hAnsiTheme="minorHAnsi" w:cstheme="minorBidi"/>
            <w:noProof/>
            <w:szCs w:val="22"/>
          </w:rPr>
          <w:tab/>
        </w:r>
        <w:r w:rsidR="006B3734" w:rsidRPr="005B0CF0">
          <w:rPr>
            <w:rStyle w:val="Hyperlink"/>
            <w:noProof/>
          </w:rPr>
          <w:t>Fakturering og betaling</w:t>
        </w:r>
        <w:r w:rsidR="006B3734">
          <w:rPr>
            <w:noProof/>
            <w:webHidden/>
          </w:rPr>
          <w:tab/>
        </w:r>
        <w:r>
          <w:rPr>
            <w:noProof/>
            <w:webHidden/>
          </w:rPr>
          <w:fldChar w:fldCharType="begin"/>
        </w:r>
        <w:r w:rsidR="006B3734">
          <w:rPr>
            <w:noProof/>
            <w:webHidden/>
          </w:rPr>
          <w:instrText xml:space="preserve"> PAGEREF _Toc413331554 \h </w:instrText>
        </w:r>
        <w:r>
          <w:rPr>
            <w:noProof/>
            <w:webHidden/>
          </w:rPr>
        </w:r>
        <w:r>
          <w:rPr>
            <w:noProof/>
            <w:webHidden/>
          </w:rPr>
          <w:fldChar w:fldCharType="separate"/>
        </w:r>
        <w:r w:rsidR="006B3734">
          <w:rPr>
            <w:noProof/>
            <w:webHidden/>
          </w:rPr>
          <w:t>8</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5" w:history="1">
        <w:r w:rsidR="006B3734" w:rsidRPr="005B0CF0">
          <w:rPr>
            <w:rStyle w:val="Hyperlink"/>
            <w:noProof/>
          </w:rPr>
          <w:t>8</w:t>
        </w:r>
        <w:r w:rsidR="006B3734">
          <w:rPr>
            <w:rFonts w:asciiTheme="minorHAnsi" w:eastAsiaTheme="minorEastAsia" w:hAnsiTheme="minorHAnsi" w:cstheme="minorBidi"/>
            <w:noProof/>
            <w:szCs w:val="22"/>
          </w:rPr>
          <w:tab/>
        </w:r>
        <w:r w:rsidR="006B3734" w:rsidRPr="005B0CF0">
          <w:rPr>
            <w:rStyle w:val="Hyperlink"/>
            <w:noProof/>
          </w:rPr>
          <w:t>Leverandørens indeståelser og Garantier</w:t>
        </w:r>
        <w:r w:rsidR="006B3734">
          <w:rPr>
            <w:noProof/>
            <w:webHidden/>
          </w:rPr>
          <w:tab/>
        </w:r>
        <w:r>
          <w:rPr>
            <w:noProof/>
            <w:webHidden/>
          </w:rPr>
          <w:fldChar w:fldCharType="begin"/>
        </w:r>
        <w:r w:rsidR="006B3734">
          <w:rPr>
            <w:noProof/>
            <w:webHidden/>
          </w:rPr>
          <w:instrText xml:space="preserve"> PAGEREF _Toc413331555 \h </w:instrText>
        </w:r>
        <w:r>
          <w:rPr>
            <w:noProof/>
            <w:webHidden/>
          </w:rPr>
        </w:r>
        <w:r>
          <w:rPr>
            <w:noProof/>
            <w:webHidden/>
          </w:rPr>
          <w:fldChar w:fldCharType="separate"/>
        </w:r>
        <w:r w:rsidR="006B3734">
          <w:rPr>
            <w:noProof/>
            <w:webHidden/>
          </w:rPr>
          <w:t>8</w:t>
        </w:r>
        <w:r>
          <w:rPr>
            <w:noProof/>
            <w:webHidden/>
          </w:rPr>
          <w:fldChar w:fldCharType="end"/>
        </w:r>
      </w:hyperlink>
    </w:p>
    <w:p w:rsidR="006B3734" w:rsidRDefault="00D00EDD">
      <w:pPr>
        <w:pStyle w:val="Indholdsfortegnelse1"/>
        <w:tabs>
          <w:tab w:val="left" w:pos="440"/>
          <w:tab w:val="right" w:leader="dot" w:pos="7927"/>
        </w:tabs>
        <w:rPr>
          <w:rFonts w:asciiTheme="minorHAnsi" w:eastAsiaTheme="minorEastAsia" w:hAnsiTheme="minorHAnsi" w:cstheme="minorBidi"/>
          <w:noProof/>
          <w:szCs w:val="22"/>
        </w:rPr>
      </w:pPr>
      <w:hyperlink w:anchor="_Toc413331556" w:history="1">
        <w:r w:rsidR="006B3734" w:rsidRPr="005B0CF0">
          <w:rPr>
            <w:rStyle w:val="Hyperlink"/>
            <w:noProof/>
          </w:rPr>
          <w:t>9</w:t>
        </w:r>
        <w:r w:rsidR="006B3734">
          <w:rPr>
            <w:rFonts w:asciiTheme="minorHAnsi" w:eastAsiaTheme="minorEastAsia" w:hAnsiTheme="minorHAnsi" w:cstheme="minorBidi"/>
            <w:noProof/>
            <w:szCs w:val="22"/>
          </w:rPr>
          <w:tab/>
        </w:r>
        <w:r w:rsidR="006B3734" w:rsidRPr="005B0CF0">
          <w:rPr>
            <w:rStyle w:val="Hyperlink"/>
            <w:noProof/>
          </w:rPr>
          <w:t>Leverandørens forsinkelse</w:t>
        </w:r>
        <w:r w:rsidR="006B3734">
          <w:rPr>
            <w:noProof/>
            <w:webHidden/>
          </w:rPr>
          <w:tab/>
        </w:r>
        <w:r>
          <w:rPr>
            <w:noProof/>
            <w:webHidden/>
          </w:rPr>
          <w:fldChar w:fldCharType="begin"/>
        </w:r>
        <w:r w:rsidR="006B3734">
          <w:rPr>
            <w:noProof/>
            <w:webHidden/>
          </w:rPr>
          <w:instrText xml:space="preserve"> PAGEREF _Toc413331556 \h </w:instrText>
        </w:r>
        <w:r>
          <w:rPr>
            <w:noProof/>
            <w:webHidden/>
          </w:rPr>
        </w:r>
        <w:r>
          <w:rPr>
            <w:noProof/>
            <w:webHidden/>
          </w:rPr>
          <w:fldChar w:fldCharType="separate"/>
        </w:r>
        <w:r w:rsidR="006B3734">
          <w:rPr>
            <w:noProof/>
            <w:webHidden/>
          </w:rPr>
          <w:t>9</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57" w:history="1">
        <w:r w:rsidR="006B3734" w:rsidRPr="005B0CF0">
          <w:rPr>
            <w:rStyle w:val="Hyperlink"/>
            <w:noProof/>
          </w:rPr>
          <w:t>10</w:t>
        </w:r>
        <w:r w:rsidR="006B3734">
          <w:rPr>
            <w:rFonts w:asciiTheme="minorHAnsi" w:eastAsiaTheme="minorEastAsia" w:hAnsiTheme="minorHAnsi" w:cstheme="minorBidi"/>
            <w:noProof/>
            <w:szCs w:val="22"/>
          </w:rPr>
          <w:tab/>
        </w:r>
        <w:r w:rsidR="006B3734" w:rsidRPr="005B0CF0">
          <w:rPr>
            <w:rStyle w:val="Hyperlink"/>
            <w:noProof/>
          </w:rPr>
          <w:t>Mangler</w:t>
        </w:r>
        <w:r w:rsidR="006B3734">
          <w:rPr>
            <w:noProof/>
            <w:webHidden/>
          </w:rPr>
          <w:tab/>
        </w:r>
        <w:r>
          <w:rPr>
            <w:noProof/>
            <w:webHidden/>
          </w:rPr>
          <w:fldChar w:fldCharType="begin"/>
        </w:r>
        <w:r w:rsidR="006B3734">
          <w:rPr>
            <w:noProof/>
            <w:webHidden/>
          </w:rPr>
          <w:instrText xml:space="preserve"> PAGEREF _Toc413331557 \h </w:instrText>
        </w:r>
        <w:r>
          <w:rPr>
            <w:noProof/>
            <w:webHidden/>
          </w:rPr>
        </w:r>
        <w:r>
          <w:rPr>
            <w:noProof/>
            <w:webHidden/>
          </w:rPr>
          <w:fldChar w:fldCharType="separate"/>
        </w:r>
        <w:r w:rsidR="006B3734">
          <w:rPr>
            <w:noProof/>
            <w:webHidden/>
          </w:rPr>
          <w:t>10</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58" w:history="1">
        <w:r w:rsidR="006B3734" w:rsidRPr="005B0CF0">
          <w:rPr>
            <w:rStyle w:val="Hyperlink"/>
            <w:noProof/>
          </w:rPr>
          <w:t>11</w:t>
        </w:r>
        <w:r w:rsidR="006B3734">
          <w:rPr>
            <w:rFonts w:asciiTheme="minorHAnsi" w:eastAsiaTheme="minorEastAsia" w:hAnsiTheme="minorHAnsi" w:cstheme="minorBidi"/>
            <w:noProof/>
            <w:szCs w:val="22"/>
          </w:rPr>
          <w:tab/>
        </w:r>
        <w:r w:rsidR="006B3734" w:rsidRPr="005B0CF0">
          <w:rPr>
            <w:rStyle w:val="Hyperlink"/>
            <w:noProof/>
          </w:rPr>
          <w:t>Erstatningspligt</w:t>
        </w:r>
        <w:r w:rsidR="006B3734">
          <w:rPr>
            <w:noProof/>
            <w:webHidden/>
          </w:rPr>
          <w:tab/>
        </w:r>
        <w:r>
          <w:rPr>
            <w:noProof/>
            <w:webHidden/>
          </w:rPr>
          <w:fldChar w:fldCharType="begin"/>
        </w:r>
        <w:r w:rsidR="006B3734">
          <w:rPr>
            <w:noProof/>
            <w:webHidden/>
          </w:rPr>
          <w:instrText xml:space="preserve"> PAGEREF _Toc413331558 \h </w:instrText>
        </w:r>
        <w:r>
          <w:rPr>
            <w:noProof/>
            <w:webHidden/>
          </w:rPr>
        </w:r>
        <w:r>
          <w:rPr>
            <w:noProof/>
            <w:webHidden/>
          </w:rPr>
          <w:fldChar w:fldCharType="separate"/>
        </w:r>
        <w:r w:rsidR="006B3734">
          <w:rPr>
            <w:noProof/>
            <w:webHidden/>
          </w:rPr>
          <w:t>10</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59" w:history="1">
        <w:r w:rsidR="006B3734" w:rsidRPr="005B0CF0">
          <w:rPr>
            <w:rStyle w:val="Hyperlink"/>
            <w:noProof/>
          </w:rPr>
          <w:t>12</w:t>
        </w:r>
        <w:r w:rsidR="006B3734">
          <w:rPr>
            <w:rFonts w:asciiTheme="minorHAnsi" w:eastAsiaTheme="minorEastAsia" w:hAnsiTheme="minorHAnsi" w:cstheme="minorBidi"/>
            <w:noProof/>
            <w:szCs w:val="22"/>
          </w:rPr>
          <w:tab/>
        </w:r>
        <w:r w:rsidR="006B3734" w:rsidRPr="005B0CF0">
          <w:rPr>
            <w:rStyle w:val="Hyperlink"/>
            <w:noProof/>
          </w:rPr>
          <w:t>Force majeure</w:t>
        </w:r>
        <w:r w:rsidR="006B3734">
          <w:rPr>
            <w:noProof/>
            <w:webHidden/>
          </w:rPr>
          <w:tab/>
        </w:r>
        <w:r>
          <w:rPr>
            <w:noProof/>
            <w:webHidden/>
          </w:rPr>
          <w:fldChar w:fldCharType="begin"/>
        </w:r>
        <w:r w:rsidR="006B3734">
          <w:rPr>
            <w:noProof/>
            <w:webHidden/>
          </w:rPr>
          <w:instrText xml:space="preserve"> PAGEREF _Toc413331559 \h </w:instrText>
        </w:r>
        <w:r>
          <w:rPr>
            <w:noProof/>
            <w:webHidden/>
          </w:rPr>
        </w:r>
        <w:r>
          <w:rPr>
            <w:noProof/>
            <w:webHidden/>
          </w:rPr>
          <w:fldChar w:fldCharType="separate"/>
        </w:r>
        <w:r w:rsidR="006B3734">
          <w:rPr>
            <w:noProof/>
            <w:webHidden/>
          </w:rPr>
          <w:t>11</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0" w:history="1">
        <w:r w:rsidR="006B3734" w:rsidRPr="005B0CF0">
          <w:rPr>
            <w:rStyle w:val="Hyperlink"/>
            <w:noProof/>
          </w:rPr>
          <w:t>13</w:t>
        </w:r>
        <w:r w:rsidR="006B3734">
          <w:rPr>
            <w:rFonts w:asciiTheme="minorHAnsi" w:eastAsiaTheme="minorEastAsia" w:hAnsiTheme="minorHAnsi" w:cstheme="minorBidi"/>
            <w:noProof/>
            <w:szCs w:val="22"/>
          </w:rPr>
          <w:tab/>
        </w:r>
        <w:r w:rsidR="006B3734" w:rsidRPr="005B0CF0">
          <w:rPr>
            <w:rStyle w:val="Hyperlink"/>
            <w:noProof/>
          </w:rPr>
          <w:t>Ansvarsforsikring</w:t>
        </w:r>
        <w:r w:rsidR="006B3734">
          <w:rPr>
            <w:noProof/>
            <w:webHidden/>
          </w:rPr>
          <w:tab/>
        </w:r>
        <w:r>
          <w:rPr>
            <w:noProof/>
            <w:webHidden/>
          </w:rPr>
          <w:fldChar w:fldCharType="begin"/>
        </w:r>
        <w:r w:rsidR="006B3734">
          <w:rPr>
            <w:noProof/>
            <w:webHidden/>
          </w:rPr>
          <w:instrText xml:space="preserve"> PAGEREF _Toc413331560 \h </w:instrText>
        </w:r>
        <w:r>
          <w:rPr>
            <w:noProof/>
            <w:webHidden/>
          </w:rPr>
        </w:r>
        <w:r>
          <w:rPr>
            <w:noProof/>
            <w:webHidden/>
          </w:rPr>
          <w:fldChar w:fldCharType="separate"/>
        </w:r>
        <w:r w:rsidR="006B3734">
          <w:rPr>
            <w:noProof/>
            <w:webHidden/>
          </w:rPr>
          <w:t>11</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1" w:history="1">
        <w:r w:rsidR="006B3734" w:rsidRPr="005B0CF0">
          <w:rPr>
            <w:rStyle w:val="Hyperlink"/>
            <w:noProof/>
          </w:rPr>
          <w:t>14</w:t>
        </w:r>
        <w:r w:rsidR="006B3734">
          <w:rPr>
            <w:rFonts w:asciiTheme="minorHAnsi" w:eastAsiaTheme="minorEastAsia" w:hAnsiTheme="minorHAnsi" w:cstheme="minorBidi"/>
            <w:noProof/>
            <w:szCs w:val="22"/>
          </w:rPr>
          <w:tab/>
        </w:r>
        <w:r w:rsidR="006B3734" w:rsidRPr="005B0CF0">
          <w:rPr>
            <w:rStyle w:val="Hyperlink"/>
            <w:noProof/>
          </w:rPr>
          <w:t>Klausul om elevpladser</w:t>
        </w:r>
        <w:r w:rsidR="006B3734">
          <w:rPr>
            <w:noProof/>
            <w:webHidden/>
          </w:rPr>
          <w:tab/>
        </w:r>
        <w:r>
          <w:rPr>
            <w:noProof/>
            <w:webHidden/>
          </w:rPr>
          <w:fldChar w:fldCharType="begin"/>
        </w:r>
        <w:r w:rsidR="006B3734">
          <w:rPr>
            <w:noProof/>
            <w:webHidden/>
          </w:rPr>
          <w:instrText xml:space="preserve"> PAGEREF _Toc413331561 \h </w:instrText>
        </w:r>
        <w:r>
          <w:rPr>
            <w:noProof/>
            <w:webHidden/>
          </w:rPr>
        </w:r>
        <w:r>
          <w:rPr>
            <w:noProof/>
            <w:webHidden/>
          </w:rPr>
          <w:fldChar w:fldCharType="separate"/>
        </w:r>
        <w:r w:rsidR="006B3734">
          <w:rPr>
            <w:noProof/>
            <w:webHidden/>
          </w:rPr>
          <w:t>12</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2" w:history="1">
        <w:r w:rsidR="006B3734" w:rsidRPr="005B0CF0">
          <w:rPr>
            <w:rStyle w:val="Hyperlink"/>
            <w:noProof/>
          </w:rPr>
          <w:t>15</w:t>
        </w:r>
        <w:r w:rsidR="006B3734">
          <w:rPr>
            <w:rFonts w:asciiTheme="minorHAnsi" w:eastAsiaTheme="minorEastAsia" w:hAnsiTheme="minorHAnsi" w:cstheme="minorBidi"/>
            <w:noProof/>
            <w:szCs w:val="22"/>
          </w:rPr>
          <w:tab/>
        </w:r>
        <w:r w:rsidR="006B3734" w:rsidRPr="005B0CF0">
          <w:rPr>
            <w:rStyle w:val="Hyperlink"/>
            <w:noProof/>
          </w:rPr>
          <w:t>Arbejdsklausul</w:t>
        </w:r>
        <w:r w:rsidR="006B3734">
          <w:rPr>
            <w:noProof/>
            <w:webHidden/>
          </w:rPr>
          <w:tab/>
        </w:r>
        <w:r>
          <w:rPr>
            <w:noProof/>
            <w:webHidden/>
          </w:rPr>
          <w:fldChar w:fldCharType="begin"/>
        </w:r>
        <w:r w:rsidR="006B3734">
          <w:rPr>
            <w:noProof/>
            <w:webHidden/>
          </w:rPr>
          <w:instrText xml:space="preserve"> PAGEREF _Toc413331562 \h </w:instrText>
        </w:r>
        <w:r>
          <w:rPr>
            <w:noProof/>
            <w:webHidden/>
          </w:rPr>
        </w:r>
        <w:r>
          <w:rPr>
            <w:noProof/>
            <w:webHidden/>
          </w:rPr>
          <w:fldChar w:fldCharType="separate"/>
        </w:r>
        <w:r w:rsidR="006B3734">
          <w:rPr>
            <w:noProof/>
            <w:webHidden/>
          </w:rPr>
          <w:t>13</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3" w:history="1">
        <w:r w:rsidR="006B3734" w:rsidRPr="005B0CF0">
          <w:rPr>
            <w:rStyle w:val="Hyperlink"/>
            <w:noProof/>
          </w:rPr>
          <w:t>16</w:t>
        </w:r>
        <w:r w:rsidR="006B3734">
          <w:rPr>
            <w:rFonts w:asciiTheme="minorHAnsi" w:eastAsiaTheme="minorEastAsia" w:hAnsiTheme="minorHAnsi" w:cstheme="minorBidi"/>
            <w:noProof/>
            <w:szCs w:val="22"/>
          </w:rPr>
          <w:tab/>
        </w:r>
        <w:r w:rsidR="006B3734" w:rsidRPr="005B0CF0">
          <w:rPr>
            <w:rStyle w:val="Hyperlink"/>
            <w:noProof/>
          </w:rPr>
          <w:t>Rettigheder</w:t>
        </w:r>
        <w:r w:rsidR="006B3734">
          <w:rPr>
            <w:noProof/>
            <w:webHidden/>
          </w:rPr>
          <w:tab/>
        </w:r>
        <w:r>
          <w:rPr>
            <w:noProof/>
            <w:webHidden/>
          </w:rPr>
          <w:fldChar w:fldCharType="begin"/>
        </w:r>
        <w:r w:rsidR="006B3734">
          <w:rPr>
            <w:noProof/>
            <w:webHidden/>
          </w:rPr>
          <w:instrText xml:space="preserve"> PAGEREF _Toc413331563 \h </w:instrText>
        </w:r>
        <w:r>
          <w:rPr>
            <w:noProof/>
            <w:webHidden/>
          </w:rPr>
        </w:r>
        <w:r>
          <w:rPr>
            <w:noProof/>
            <w:webHidden/>
          </w:rPr>
          <w:fldChar w:fldCharType="separate"/>
        </w:r>
        <w:r w:rsidR="006B3734">
          <w:rPr>
            <w:noProof/>
            <w:webHidden/>
          </w:rPr>
          <w:t>13</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4" w:history="1">
        <w:r w:rsidR="006B3734" w:rsidRPr="005B0CF0">
          <w:rPr>
            <w:rStyle w:val="Hyperlink"/>
            <w:noProof/>
          </w:rPr>
          <w:t>17</w:t>
        </w:r>
        <w:r w:rsidR="006B3734">
          <w:rPr>
            <w:rFonts w:asciiTheme="minorHAnsi" w:eastAsiaTheme="minorEastAsia" w:hAnsiTheme="minorHAnsi" w:cstheme="minorBidi"/>
            <w:noProof/>
            <w:szCs w:val="22"/>
          </w:rPr>
          <w:tab/>
        </w:r>
        <w:r w:rsidR="006B3734" w:rsidRPr="005B0CF0">
          <w:rPr>
            <w:rStyle w:val="Hyperlink"/>
            <w:noProof/>
          </w:rPr>
          <w:t>Nøglekort</w:t>
        </w:r>
        <w:r w:rsidR="006B3734">
          <w:rPr>
            <w:noProof/>
            <w:webHidden/>
          </w:rPr>
          <w:tab/>
        </w:r>
        <w:r>
          <w:rPr>
            <w:noProof/>
            <w:webHidden/>
          </w:rPr>
          <w:fldChar w:fldCharType="begin"/>
        </w:r>
        <w:r w:rsidR="006B3734">
          <w:rPr>
            <w:noProof/>
            <w:webHidden/>
          </w:rPr>
          <w:instrText xml:space="preserve"> PAGEREF _Toc413331564 \h </w:instrText>
        </w:r>
        <w:r>
          <w:rPr>
            <w:noProof/>
            <w:webHidden/>
          </w:rPr>
        </w:r>
        <w:r>
          <w:rPr>
            <w:noProof/>
            <w:webHidden/>
          </w:rPr>
          <w:fldChar w:fldCharType="separate"/>
        </w:r>
        <w:r w:rsidR="006B3734">
          <w:rPr>
            <w:noProof/>
            <w:webHidden/>
          </w:rPr>
          <w:t>14</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5" w:history="1">
        <w:r w:rsidR="006B3734" w:rsidRPr="005B0CF0">
          <w:rPr>
            <w:rStyle w:val="Hyperlink"/>
            <w:noProof/>
          </w:rPr>
          <w:t>18</w:t>
        </w:r>
        <w:r w:rsidR="006B3734">
          <w:rPr>
            <w:rFonts w:asciiTheme="minorHAnsi" w:eastAsiaTheme="minorEastAsia" w:hAnsiTheme="minorHAnsi" w:cstheme="minorBidi"/>
            <w:noProof/>
            <w:szCs w:val="22"/>
          </w:rPr>
          <w:tab/>
        </w:r>
        <w:r w:rsidR="006B3734" w:rsidRPr="005B0CF0">
          <w:rPr>
            <w:rStyle w:val="Hyperlink"/>
            <w:noProof/>
          </w:rPr>
          <w:t>Sikkerhedsgodkendelse</w:t>
        </w:r>
        <w:r w:rsidR="006B3734">
          <w:rPr>
            <w:noProof/>
            <w:webHidden/>
          </w:rPr>
          <w:tab/>
        </w:r>
        <w:r>
          <w:rPr>
            <w:noProof/>
            <w:webHidden/>
          </w:rPr>
          <w:fldChar w:fldCharType="begin"/>
        </w:r>
        <w:r w:rsidR="006B3734">
          <w:rPr>
            <w:noProof/>
            <w:webHidden/>
          </w:rPr>
          <w:instrText xml:space="preserve"> PAGEREF _Toc413331565 \h </w:instrText>
        </w:r>
        <w:r>
          <w:rPr>
            <w:noProof/>
            <w:webHidden/>
          </w:rPr>
        </w:r>
        <w:r>
          <w:rPr>
            <w:noProof/>
            <w:webHidden/>
          </w:rPr>
          <w:fldChar w:fldCharType="separate"/>
        </w:r>
        <w:r w:rsidR="006B3734">
          <w:rPr>
            <w:noProof/>
            <w:webHidden/>
          </w:rPr>
          <w:t>15</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6" w:history="1">
        <w:r w:rsidR="006B3734" w:rsidRPr="005B0CF0">
          <w:rPr>
            <w:rStyle w:val="Hyperlink"/>
            <w:noProof/>
          </w:rPr>
          <w:t>19</w:t>
        </w:r>
        <w:r w:rsidR="006B3734">
          <w:rPr>
            <w:rFonts w:asciiTheme="minorHAnsi" w:eastAsiaTheme="minorEastAsia" w:hAnsiTheme="minorHAnsi" w:cstheme="minorBidi"/>
            <w:noProof/>
            <w:szCs w:val="22"/>
          </w:rPr>
          <w:tab/>
        </w:r>
        <w:r w:rsidR="006B3734" w:rsidRPr="005B0CF0">
          <w:rPr>
            <w:rStyle w:val="Hyperlink"/>
            <w:noProof/>
          </w:rPr>
          <w:t>Tavshedspligt og husorden</w:t>
        </w:r>
        <w:r w:rsidR="006B3734">
          <w:rPr>
            <w:noProof/>
            <w:webHidden/>
          </w:rPr>
          <w:tab/>
        </w:r>
        <w:r>
          <w:rPr>
            <w:noProof/>
            <w:webHidden/>
          </w:rPr>
          <w:fldChar w:fldCharType="begin"/>
        </w:r>
        <w:r w:rsidR="006B3734">
          <w:rPr>
            <w:noProof/>
            <w:webHidden/>
          </w:rPr>
          <w:instrText xml:space="preserve"> PAGEREF _Toc413331566 \h </w:instrText>
        </w:r>
        <w:r>
          <w:rPr>
            <w:noProof/>
            <w:webHidden/>
          </w:rPr>
        </w:r>
        <w:r>
          <w:rPr>
            <w:noProof/>
            <w:webHidden/>
          </w:rPr>
          <w:fldChar w:fldCharType="separate"/>
        </w:r>
        <w:r w:rsidR="006B3734">
          <w:rPr>
            <w:noProof/>
            <w:webHidden/>
          </w:rPr>
          <w:t>15</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7" w:history="1">
        <w:r w:rsidR="006B3734" w:rsidRPr="005B0CF0">
          <w:rPr>
            <w:rStyle w:val="Hyperlink"/>
            <w:noProof/>
          </w:rPr>
          <w:t>20</w:t>
        </w:r>
        <w:r w:rsidR="006B3734">
          <w:rPr>
            <w:rFonts w:asciiTheme="minorHAnsi" w:eastAsiaTheme="minorEastAsia" w:hAnsiTheme="minorHAnsi" w:cstheme="minorBidi"/>
            <w:noProof/>
            <w:szCs w:val="22"/>
          </w:rPr>
          <w:tab/>
        </w:r>
        <w:r w:rsidR="006B3734" w:rsidRPr="005B0CF0">
          <w:rPr>
            <w:rStyle w:val="Hyperlink"/>
            <w:noProof/>
          </w:rPr>
          <w:t>Overdragelse</w:t>
        </w:r>
        <w:r w:rsidR="006B3734">
          <w:rPr>
            <w:noProof/>
            <w:webHidden/>
          </w:rPr>
          <w:tab/>
        </w:r>
        <w:r>
          <w:rPr>
            <w:noProof/>
            <w:webHidden/>
          </w:rPr>
          <w:fldChar w:fldCharType="begin"/>
        </w:r>
        <w:r w:rsidR="006B3734">
          <w:rPr>
            <w:noProof/>
            <w:webHidden/>
          </w:rPr>
          <w:instrText xml:space="preserve"> PAGEREF _Toc413331567 \h </w:instrText>
        </w:r>
        <w:r>
          <w:rPr>
            <w:noProof/>
            <w:webHidden/>
          </w:rPr>
        </w:r>
        <w:r>
          <w:rPr>
            <w:noProof/>
            <w:webHidden/>
          </w:rPr>
          <w:fldChar w:fldCharType="separate"/>
        </w:r>
        <w:r w:rsidR="006B3734">
          <w:rPr>
            <w:noProof/>
            <w:webHidden/>
          </w:rPr>
          <w:t>16</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8" w:history="1">
        <w:r w:rsidR="006B3734" w:rsidRPr="005B0CF0">
          <w:rPr>
            <w:rStyle w:val="Hyperlink"/>
            <w:noProof/>
          </w:rPr>
          <w:t>21</w:t>
        </w:r>
        <w:r w:rsidR="006B3734">
          <w:rPr>
            <w:rFonts w:asciiTheme="minorHAnsi" w:eastAsiaTheme="minorEastAsia" w:hAnsiTheme="minorHAnsi" w:cstheme="minorBidi"/>
            <w:noProof/>
            <w:szCs w:val="22"/>
          </w:rPr>
          <w:tab/>
        </w:r>
        <w:r w:rsidR="006B3734" w:rsidRPr="005B0CF0">
          <w:rPr>
            <w:rStyle w:val="Hyperlink"/>
            <w:noProof/>
          </w:rPr>
          <w:t>Varighed</w:t>
        </w:r>
        <w:r w:rsidR="006B3734">
          <w:rPr>
            <w:noProof/>
            <w:webHidden/>
          </w:rPr>
          <w:tab/>
        </w:r>
        <w:r>
          <w:rPr>
            <w:noProof/>
            <w:webHidden/>
          </w:rPr>
          <w:fldChar w:fldCharType="begin"/>
        </w:r>
        <w:r w:rsidR="006B3734">
          <w:rPr>
            <w:noProof/>
            <w:webHidden/>
          </w:rPr>
          <w:instrText xml:space="preserve"> PAGEREF _Toc413331568 \h </w:instrText>
        </w:r>
        <w:r>
          <w:rPr>
            <w:noProof/>
            <w:webHidden/>
          </w:rPr>
        </w:r>
        <w:r>
          <w:rPr>
            <w:noProof/>
            <w:webHidden/>
          </w:rPr>
          <w:fldChar w:fldCharType="separate"/>
        </w:r>
        <w:r w:rsidR="006B3734">
          <w:rPr>
            <w:noProof/>
            <w:webHidden/>
          </w:rPr>
          <w:t>16</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69" w:history="1">
        <w:r w:rsidR="006B3734" w:rsidRPr="005B0CF0">
          <w:rPr>
            <w:rStyle w:val="Hyperlink"/>
            <w:noProof/>
          </w:rPr>
          <w:t>22</w:t>
        </w:r>
        <w:r w:rsidR="006B3734">
          <w:rPr>
            <w:rFonts w:asciiTheme="minorHAnsi" w:eastAsiaTheme="minorEastAsia" w:hAnsiTheme="minorHAnsi" w:cstheme="minorBidi"/>
            <w:noProof/>
            <w:szCs w:val="22"/>
          </w:rPr>
          <w:tab/>
        </w:r>
        <w:r w:rsidR="006B3734" w:rsidRPr="005B0CF0">
          <w:rPr>
            <w:rStyle w:val="Hyperlink"/>
            <w:noProof/>
          </w:rPr>
          <w:t>Fortolkning og ændringer i kontrakten</w:t>
        </w:r>
        <w:r w:rsidR="006B3734">
          <w:rPr>
            <w:noProof/>
            <w:webHidden/>
          </w:rPr>
          <w:tab/>
        </w:r>
        <w:r>
          <w:rPr>
            <w:noProof/>
            <w:webHidden/>
          </w:rPr>
          <w:fldChar w:fldCharType="begin"/>
        </w:r>
        <w:r w:rsidR="006B3734">
          <w:rPr>
            <w:noProof/>
            <w:webHidden/>
          </w:rPr>
          <w:instrText xml:space="preserve"> PAGEREF _Toc413331569 \h </w:instrText>
        </w:r>
        <w:r>
          <w:rPr>
            <w:noProof/>
            <w:webHidden/>
          </w:rPr>
        </w:r>
        <w:r>
          <w:rPr>
            <w:noProof/>
            <w:webHidden/>
          </w:rPr>
          <w:fldChar w:fldCharType="separate"/>
        </w:r>
        <w:r w:rsidR="006B3734">
          <w:rPr>
            <w:noProof/>
            <w:webHidden/>
          </w:rPr>
          <w:t>16</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70" w:history="1">
        <w:r w:rsidR="006B3734" w:rsidRPr="005B0CF0">
          <w:rPr>
            <w:rStyle w:val="Hyperlink"/>
            <w:noProof/>
          </w:rPr>
          <w:t>23</w:t>
        </w:r>
        <w:r w:rsidR="006B3734">
          <w:rPr>
            <w:rFonts w:asciiTheme="minorHAnsi" w:eastAsiaTheme="minorEastAsia" w:hAnsiTheme="minorHAnsi" w:cstheme="minorBidi"/>
            <w:noProof/>
            <w:szCs w:val="22"/>
          </w:rPr>
          <w:tab/>
        </w:r>
        <w:r w:rsidR="006B3734" w:rsidRPr="005B0CF0">
          <w:rPr>
            <w:rStyle w:val="Hyperlink"/>
            <w:noProof/>
          </w:rPr>
          <w:t>Overholdelse af love, bekendtgørelser mv.</w:t>
        </w:r>
        <w:r w:rsidR="006B3734">
          <w:rPr>
            <w:noProof/>
            <w:webHidden/>
          </w:rPr>
          <w:tab/>
        </w:r>
        <w:r>
          <w:rPr>
            <w:noProof/>
            <w:webHidden/>
          </w:rPr>
          <w:fldChar w:fldCharType="begin"/>
        </w:r>
        <w:r w:rsidR="006B3734">
          <w:rPr>
            <w:noProof/>
            <w:webHidden/>
          </w:rPr>
          <w:instrText xml:space="preserve"> PAGEREF _Toc413331570 \h </w:instrText>
        </w:r>
        <w:r>
          <w:rPr>
            <w:noProof/>
            <w:webHidden/>
          </w:rPr>
        </w:r>
        <w:r>
          <w:rPr>
            <w:noProof/>
            <w:webHidden/>
          </w:rPr>
          <w:fldChar w:fldCharType="separate"/>
        </w:r>
        <w:r w:rsidR="006B3734">
          <w:rPr>
            <w:noProof/>
            <w:webHidden/>
          </w:rPr>
          <w:t>17</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71" w:history="1">
        <w:r w:rsidR="006B3734" w:rsidRPr="005B0CF0">
          <w:rPr>
            <w:rStyle w:val="Hyperlink"/>
            <w:noProof/>
          </w:rPr>
          <w:t>24</w:t>
        </w:r>
        <w:r w:rsidR="006B3734">
          <w:rPr>
            <w:rFonts w:asciiTheme="minorHAnsi" w:eastAsiaTheme="minorEastAsia" w:hAnsiTheme="minorHAnsi" w:cstheme="minorBidi"/>
            <w:noProof/>
            <w:szCs w:val="22"/>
          </w:rPr>
          <w:tab/>
        </w:r>
        <w:r w:rsidR="006B3734" w:rsidRPr="005B0CF0">
          <w:rPr>
            <w:rStyle w:val="Hyperlink"/>
            <w:noProof/>
          </w:rPr>
          <w:t>Tvistigheder</w:t>
        </w:r>
        <w:r w:rsidR="006B3734">
          <w:rPr>
            <w:noProof/>
            <w:webHidden/>
          </w:rPr>
          <w:tab/>
        </w:r>
        <w:r>
          <w:rPr>
            <w:noProof/>
            <w:webHidden/>
          </w:rPr>
          <w:fldChar w:fldCharType="begin"/>
        </w:r>
        <w:r w:rsidR="006B3734">
          <w:rPr>
            <w:noProof/>
            <w:webHidden/>
          </w:rPr>
          <w:instrText xml:space="preserve"> PAGEREF _Toc413331571 \h </w:instrText>
        </w:r>
        <w:r>
          <w:rPr>
            <w:noProof/>
            <w:webHidden/>
          </w:rPr>
        </w:r>
        <w:r>
          <w:rPr>
            <w:noProof/>
            <w:webHidden/>
          </w:rPr>
          <w:fldChar w:fldCharType="separate"/>
        </w:r>
        <w:r w:rsidR="006B3734">
          <w:rPr>
            <w:noProof/>
            <w:webHidden/>
          </w:rPr>
          <w:t>17</w:t>
        </w:r>
        <w:r>
          <w:rPr>
            <w:noProof/>
            <w:webHidden/>
          </w:rPr>
          <w:fldChar w:fldCharType="end"/>
        </w:r>
      </w:hyperlink>
    </w:p>
    <w:p w:rsidR="006B3734" w:rsidRDefault="00D00EDD">
      <w:pPr>
        <w:pStyle w:val="Indholdsfortegnelse1"/>
        <w:tabs>
          <w:tab w:val="left" w:pos="660"/>
          <w:tab w:val="right" w:leader="dot" w:pos="7927"/>
        </w:tabs>
        <w:rPr>
          <w:rFonts w:asciiTheme="minorHAnsi" w:eastAsiaTheme="minorEastAsia" w:hAnsiTheme="minorHAnsi" w:cstheme="minorBidi"/>
          <w:noProof/>
          <w:szCs w:val="22"/>
        </w:rPr>
      </w:pPr>
      <w:hyperlink w:anchor="_Toc413331572" w:history="1">
        <w:r w:rsidR="006B3734" w:rsidRPr="005B0CF0">
          <w:rPr>
            <w:rStyle w:val="Hyperlink"/>
            <w:noProof/>
          </w:rPr>
          <w:t>25</w:t>
        </w:r>
        <w:r w:rsidR="006B3734">
          <w:rPr>
            <w:rFonts w:asciiTheme="minorHAnsi" w:eastAsiaTheme="minorEastAsia" w:hAnsiTheme="minorHAnsi" w:cstheme="minorBidi"/>
            <w:noProof/>
            <w:szCs w:val="22"/>
          </w:rPr>
          <w:tab/>
        </w:r>
        <w:r w:rsidR="006B3734" w:rsidRPr="005B0CF0">
          <w:rPr>
            <w:rStyle w:val="Hyperlink"/>
            <w:noProof/>
          </w:rPr>
          <w:t>Underskrift</w:t>
        </w:r>
        <w:r w:rsidR="006B3734">
          <w:rPr>
            <w:noProof/>
            <w:webHidden/>
          </w:rPr>
          <w:tab/>
        </w:r>
        <w:r>
          <w:rPr>
            <w:noProof/>
            <w:webHidden/>
          </w:rPr>
          <w:fldChar w:fldCharType="begin"/>
        </w:r>
        <w:r w:rsidR="006B3734">
          <w:rPr>
            <w:noProof/>
            <w:webHidden/>
          </w:rPr>
          <w:instrText xml:space="preserve"> PAGEREF _Toc413331572 \h </w:instrText>
        </w:r>
        <w:r>
          <w:rPr>
            <w:noProof/>
            <w:webHidden/>
          </w:rPr>
        </w:r>
        <w:r>
          <w:rPr>
            <w:noProof/>
            <w:webHidden/>
          </w:rPr>
          <w:fldChar w:fldCharType="separate"/>
        </w:r>
        <w:r w:rsidR="006B3734">
          <w:rPr>
            <w:noProof/>
            <w:webHidden/>
          </w:rPr>
          <w:t>17</w:t>
        </w:r>
        <w:r>
          <w:rPr>
            <w:noProof/>
            <w:webHidden/>
          </w:rPr>
          <w:fldChar w:fldCharType="end"/>
        </w:r>
      </w:hyperlink>
    </w:p>
    <w:p w:rsidR="00CA08A9" w:rsidRPr="0012609C" w:rsidRDefault="00D00EDD" w:rsidP="00D95D0F">
      <w:r>
        <w:rPr>
          <w:noProof/>
          <w:spacing w:val="40"/>
        </w:rPr>
        <w:fldChar w:fldCharType="end"/>
      </w:r>
    </w:p>
    <w:p w:rsidR="00CA08A9" w:rsidRDefault="00CA08A9" w:rsidP="00D95D0F">
      <w:pPr>
        <w:tabs>
          <w:tab w:val="num" w:pos="851"/>
          <w:tab w:val="left" w:pos="5670"/>
        </w:tabs>
        <w:rPr>
          <w:rFonts w:cs="Lucida Sans Unicode"/>
        </w:rPr>
      </w:pPr>
    </w:p>
    <w:bookmarkEnd w:id="0"/>
    <w:p w:rsidR="00C43D15" w:rsidRDefault="00C43D15" w:rsidP="00D74F40"/>
    <w:p w:rsidR="00B17032" w:rsidRDefault="0045514F" w:rsidP="00590E0E">
      <w:pPr>
        <w:pStyle w:val="LROverskrift1Alt1"/>
      </w:pPr>
      <w:bookmarkStart w:id="1" w:name="_Toc410999446"/>
      <w:bookmarkStart w:id="2" w:name="_Toc410999585"/>
      <w:bookmarkStart w:id="3" w:name="_Toc410999868"/>
      <w:bookmarkStart w:id="4" w:name="_Toc410999995"/>
      <w:bookmarkStart w:id="5" w:name="_Toc411243006"/>
      <w:bookmarkStart w:id="6" w:name="_Toc413331402"/>
      <w:bookmarkStart w:id="7" w:name="_Toc413331548"/>
      <w:r>
        <w:lastRenderedPageBreak/>
        <w:t>Definitioner</w:t>
      </w:r>
      <w:bookmarkEnd w:id="1"/>
      <w:bookmarkEnd w:id="2"/>
      <w:bookmarkEnd w:id="3"/>
      <w:bookmarkEnd w:id="4"/>
      <w:bookmarkEnd w:id="5"/>
      <w:bookmarkEnd w:id="6"/>
      <w:bookmarkEnd w:id="7"/>
    </w:p>
    <w:p w:rsidR="00590E0E" w:rsidRDefault="00590E0E" w:rsidP="00590E0E">
      <w:pPr>
        <w:pStyle w:val="OpstilflereniveauerAlt2"/>
      </w:pPr>
      <w:r>
        <w:t xml:space="preserve">Ved </w:t>
      </w:r>
      <w:r w:rsidRPr="00D74F40">
        <w:rPr>
          <w:b/>
        </w:rPr>
        <w:t>arbejdsdag</w:t>
      </w:r>
      <w:r>
        <w:t xml:space="preserve"> forstås mandag til fredag bortset fra helligdage, j</w:t>
      </w:r>
      <w:r>
        <w:t>u</w:t>
      </w:r>
      <w:r>
        <w:t xml:space="preserve">leaftensdag, nytårsaftensdag og grundlovsdag. </w:t>
      </w:r>
    </w:p>
    <w:p w:rsidR="00590E0E" w:rsidRDefault="00590E0E" w:rsidP="00590E0E">
      <w:pPr>
        <w:pStyle w:val="OpstilflereniveauerAlt2"/>
      </w:pPr>
      <w:r>
        <w:t xml:space="preserve">Ved </w:t>
      </w:r>
      <w:r w:rsidRPr="00D74F40">
        <w:rPr>
          <w:b/>
        </w:rPr>
        <w:t>dag</w:t>
      </w:r>
      <w:r>
        <w:t xml:space="preserve"> forstås kalenderdag. </w:t>
      </w:r>
    </w:p>
    <w:p w:rsidR="00590E0E" w:rsidRDefault="00590E0E" w:rsidP="00590E0E">
      <w:pPr>
        <w:pStyle w:val="OpstilflereniveauerAlt2"/>
      </w:pPr>
      <w:r>
        <w:t xml:space="preserve">Ved </w:t>
      </w:r>
      <w:r w:rsidRPr="00D74F40">
        <w:rPr>
          <w:b/>
        </w:rPr>
        <w:t>kontrakt</w:t>
      </w:r>
      <w:r>
        <w:t xml:space="preserve"> forstås denne kontrakt og bilag og alle senere æ</w:t>
      </w:r>
      <w:r>
        <w:t>n</w:t>
      </w:r>
      <w:r>
        <w:t>dringer og tillæg.</w:t>
      </w:r>
    </w:p>
    <w:p w:rsidR="00590E0E" w:rsidRDefault="00590E0E" w:rsidP="00590E0E">
      <w:pPr>
        <w:pStyle w:val="OpstilflereniveauerAlt2"/>
      </w:pPr>
      <w:r>
        <w:t xml:space="preserve">Ved </w:t>
      </w:r>
      <w:r w:rsidRPr="00D74F40">
        <w:rPr>
          <w:b/>
        </w:rPr>
        <w:t>produktionstime</w:t>
      </w:r>
      <w:r>
        <w:t xml:space="preserve"> forstås pr. påbegyndt time fra et møde/en h</w:t>
      </w:r>
      <w:r>
        <w:t>ø</w:t>
      </w:r>
      <w:r>
        <w:t>ring starter til det slutter.</w:t>
      </w:r>
    </w:p>
    <w:p w:rsidR="00590E0E" w:rsidRDefault="00590E0E" w:rsidP="00590E0E">
      <w:pPr>
        <w:pStyle w:val="OpstilflereniveauerAlt2"/>
      </w:pPr>
      <w:r>
        <w:t xml:space="preserve">Ved </w:t>
      </w:r>
      <w:r w:rsidRPr="00D74F40">
        <w:rPr>
          <w:b/>
        </w:rPr>
        <w:t>tv-produktion</w:t>
      </w:r>
      <w:r>
        <w:t xml:space="preserve"> forstås direkte </w:t>
      </w:r>
      <w:r w:rsidR="00890FE4">
        <w:t xml:space="preserve">eller tidsforskudt </w:t>
      </w:r>
      <w:r>
        <w:t xml:space="preserve">tv-produktion fra møder i Folketingssalen, </w:t>
      </w:r>
      <w:r w:rsidR="00890FE4">
        <w:t>L</w:t>
      </w:r>
      <w:r>
        <w:t xml:space="preserve">andstingssalen og </w:t>
      </w:r>
      <w:r w:rsidR="002613C3">
        <w:t xml:space="preserve">udvalgene </w:t>
      </w:r>
      <w:r w:rsidR="00890FE4">
        <w:t>samt fra andre møder og begivenheder i Folketinget</w:t>
      </w:r>
      <w:r>
        <w:t>. I forbindelse med opti</w:t>
      </w:r>
      <w:r>
        <w:t>o</w:t>
      </w:r>
      <w:r>
        <w:t>nerne omfatter tv-produktion også de ydelser, som er beskrevet u</w:t>
      </w:r>
      <w:r>
        <w:t>n</w:t>
      </w:r>
      <w:r>
        <w:t>der den enkelte option.</w:t>
      </w:r>
    </w:p>
    <w:p w:rsidR="00590E0E" w:rsidRDefault="0045514F" w:rsidP="00590E0E">
      <w:pPr>
        <w:pStyle w:val="LROverskrift1Alt1"/>
      </w:pPr>
      <w:bookmarkStart w:id="8" w:name="_Toc410999447"/>
      <w:bookmarkStart w:id="9" w:name="_Toc410999586"/>
      <w:bookmarkStart w:id="10" w:name="_Toc410999869"/>
      <w:bookmarkStart w:id="11" w:name="_Toc410999996"/>
      <w:bookmarkStart w:id="12" w:name="_Toc411243007"/>
      <w:bookmarkStart w:id="13" w:name="_Toc413331403"/>
      <w:bookmarkStart w:id="14" w:name="_Toc413331549"/>
      <w:proofErr w:type="spellStart"/>
      <w:r>
        <w:t>B</w:t>
      </w:r>
      <w:r w:rsidR="00590E0E">
        <w:t>aggrund</w:t>
      </w:r>
      <w:r w:rsidR="00C07451">
        <w:t>,</w:t>
      </w:r>
      <w:r w:rsidR="00590E0E">
        <w:t>formål</w:t>
      </w:r>
      <w:bookmarkEnd w:id="8"/>
      <w:bookmarkEnd w:id="9"/>
      <w:bookmarkEnd w:id="10"/>
      <w:bookmarkEnd w:id="11"/>
      <w:bookmarkEnd w:id="12"/>
      <w:proofErr w:type="spellEnd"/>
      <w:r w:rsidR="00C07451">
        <w:t xml:space="preserve"> og kontraktgrundlag</w:t>
      </w:r>
      <w:bookmarkEnd w:id="13"/>
      <w:bookmarkEnd w:id="14"/>
    </w:p>
    <w:p w:rsidR="00590E0E" w:rsidRDefault="00D5783C" w:rsidP="00364D08">
      <w:pPr>
        <w:pStyle w:val="OpstilflereniveauerAlt2"/>
      </w:pPr>
      <w:r>
        <w:t xml:space="preserve">Denne </w:t>
      </w:r>
      <w:r w:rsidR="00590E0E">
        <w:t xml:space="preserve">kontrakt er indgået </w:t>
      </w:r>
      <w:r>
        <w:t>på baggrund</w:t>
      </w:r>
      <w:r w:rsidR="00590E0E">
        <w:t xml:space="preserve"> af </w:t>
      </w:r>
      <w:r>
        <w:t xml:space="preserve">et </w:t>
      </w:r>
      <w:r w:rsidR="00590E0E">
        <w:t>EU-udbud</w:t>
      </w:r>
      <w:r w:rsidR="00364D08">
        <w:t xml:space="preserve"> og </w:t>
      </w:r>
      <w:r w:rsidR="00364D08" w:rsidRPr="00364D08">
        <w:t>vedrører produktion og transmission af tv-uds</w:t>
      </w:r>
      <w:r w:rsidR="00364D08">
        <w:t>endelser fra Folketinget (”Folk</w:t>
      </w:r>
      <w:r w:rsidR="00364D08">
        <w:t>e</w:t>
      </w:r>
      <w:r w:rsidR="00364D08">
        <w:t>tingskanalen”)</w:t>
      </w:r>
      <w:r w:rsidR="00890FE4">
        <w:t xml:space="preserve"> samt etablering/udvidelse af teknisk infrastruktur til brug for Folketingskanalen.</w:t>
      </w:r>
    </w:p>
    <w:p w:rsidR="00590E0E" w:rsidRDefault="00590E0E" w:rsidP="00590E0E">
      <w:pPr>
        <w:pStyle w:val="OpstilflereniveauerAlt2"/>
      </w:pPr>
      <w:r>
        <w:t>Folketingskanalen</w:t>
      </w:r>
      <w:r w:rsidR="00C07451">
        <w:t>s formål</w:t>
      </w:r>
      <w:r>
        <w:t xml:space="preserve"> er at sikre størst mulig tilgængelighed og åbenhed omkring Folketingets arbejde samt give forbedret indsigt i lovgivning og den demokratiske proces.</w:t>
      </w:r>
    </w:p>
    <w:p w:rsidR="00590E0E" w:rsidRDefault="00590E0E" w:rsidP="009A12E8">
      <w:pPr>
        <w:pStyle w:val="OpstilflereniveauerAlt2"/>
      </w:pPr>
      <w:r>
        <w:t xml:space="preserve">For at sikre tilgængelighed </w:t>
      </w:r>
      <w:r w:rsidR="00364D08">
        <w:t>sender</w:t>
      </w:r>
      <w:r>
        <w:t xml:space="preserve"> Folketingskanalen samtlige d</w:t>
      </w:r>
      <w:r>
        <w:t>e</w:t>
      </w:r>
      <w:r>
        <w:t xml:space="preserve">batter fra Folketingssalen direkte </w:t>
      </w:r>
      <w:r w:rsidR="00D5783C">
        <w:t xml:space="preserve">og </w:t>
      </w:r>
      <w:r>
        <w:t xml:space="preserve">debatterne </w:t>
      </w:r>
      <w:r w:rsidR="00D5783C">
        <w:t xml:space="preserve">genudsendes </w:t>
      </w:r>
      <w:r>
        <w:t>om a</w:t>
      </w:r>
      <w:r>
        <w:t>f</w:t>
      </w:r>
      <w:r>
        <w:t xml:space="preserve">tenen. </w:t>
      </w:r>
      <w:r w:rsidR="00D5783C">
        <w:t>E</w:t>
      </w:r>
      <w:r>
        <w:t>n række andre parlamentariske møder blive</w:t>
      </w:r>
      <w:r w:rsidR="00F40EAF">
        <w:t>r</w:t>
      </w:r>
      <w:r>
        <w:t xml:space="preserve"> </w:t>
      </w:r>
      <w:r w:rsidR="00D5783C">
        <w:t xml:space="preserve">også </w:t>
      </w:r>
      <w:r>
        <w:t>sendt på kanalen</w:t>
      </w:r>
      <w:r w:rsidR="00D5783C">
        <w:t>, og kanalens udsendelser er offentligt tilgængelige på Fo</w:t>
      </w:r>
      <w:r w:rsidR="00D5783C">
        <w:t>l</w:t>
      </w:r>
      <w:r w:rsidR="00D5783C">
        <w:t>ketingets hjemmeside</w:t>
      </w:r>
      <w:r>
        <w:t>.</w:t>
      </w:r>
    </w:p>
    <w:p w:rsidR="00C07451" w:rsidRDefault="00C07451" w:rsidP="00C07451">
      <w:pPr>
        <w:pStyle w:val="OpstilflereniveauerAlt2"/>
      </w:pPr>
      <w:r>
        <w:t>Leverandørens ydelse består i hovedtræk i</w:t>
      </w:r>
    </w:p>
    <w:p w:rsidR="00C07451" w:rsidRPr="00EA772E" w:rsidRDefault="00C07451" w:rsidP="00CA08A9">
      <w:pPr>
        <w:pStyle w:val="Listeafsnit"/>
        <w:numPr>
          <w:ilvl w:val="0"/>
          <w:numId w:val="14"/>
        </w:numPr>
        <w:tabs>
          <w:tab w:val="clear" w:pos="567"/>
          <w:tab w:val="clear" w:pos="1134"/>
          <w:tab w:val="clear" w:pos="1701"/>
          <w:tab w:val="clear" w:pos="1775"/>
        </w:tabs>
        <w:ind w:left="1701" w:hanging="850"/>
      </w:pPr>
      <w:r w:rsidRPr="00CA08A9">
        <w:rPr>
          <w:rFonts w:ascii="Lucida Sans Unicode" w:hAnsi="Lucida Sans Unicode"/>
          <w:bCs w:val="0"/>
          <w:spacing w:val="0"/>
          <w:sz w:val="18"/>
          <w:szCs w:val="18"/>
        </w:rPr>
        <w:t xml:space="preserve">at producere og transmittere lyd og billede fra en række </w:t>
      </w:r>
      <w:r w:rsidR="00D5783C">
        <w:rPr>
          <w:rFonts w:ascii="Lucida Sans Unicode" w:hAnsi="Lucida Sans Unicode"/>
          <w:bCs w:val="0"/>
          <w:spacing w:val="0"/>
          <w:sz w:val="18"/>
          <w:szCs w:val="18"/>
        </w:rPr>
        <w:t xml:space="preserve">specificerede </w:t>
      </w:r>
      <w:r w:rsidRPr="00CA08A9">
        <w:rPr>
          <w:rFonts w:ascii="Lucida Sans Unicode" w:hAnsi="Lucida Sans Unicode"/>
          <w:bCs w:val="0"/>
          <w:spacing w:val="0"/>
          <w:sz w:val="18"/>
          <w:szCs w:val="18"/>
        </w:rPr>
        <w:t>møder og debatter på Christiansborg ved hjælp af allerede installeret tv-produktionsudstyr mv. på Christiansborg,</w:t>
      </w:r>
    </w:p>
    <w:p w:rsidR="00C07451" w:rsidRPr="00EA772E" w:rsidRDefault="00C07451" w:rsidP="00CA08A9">
      <w:pPr>
        <w:pStyle w:val="Listeafsnit"/>
        <w:numPr>
          <w:ilvl w:val="0"/>
          <w:numId w:val="14"/>
        </w:numPr>
        <w:tabs>
          <w:tab w:val="clear" w:pos="567"/>
          <w:tab w:val="clear" w:pos="1134"/>
          <w:tab w:val="clear" w:pos="1701"/>
          <w:tab w:val="clear" w:pos="1775"/>
        </w:tabs>
        <w:ind w:left="1701" w:hanging="850"/>
      </w:pPr>
      <w:r w:rsidRPr="00CA08A9">
        <w:rPr>
          <w:rFonts w:ascii="Lucida Sans Unicode" w:hAnsi="Lucida Sans Unicode"/>
          <w:bCs w:val="0"/>
          <w:spacing w:val="0"/>
          <w:sz w:val="18"/>
          <w:szCs w:val="18"/>
        </w:rPr>
        <w:lastRenderedPageBreak/>
        <w:t>at levere og installere nyt HD-udstyr som led i Folketingets opgrad</w:t>
      </w:r>
      <w:r w:rsidRPr="00CA08A9">
        <w:rPr>
          <w:rFonts w:ascii="Lucida Sans Unicode" w:hAnsi="Lucida Sans Unicode"/>
          <w:bCs w:val="0"/>
          <w:spacing w:val="0"/>
          <w:sz w:val="18"/>
          <w:szCs w:val="18"/>
        </w:rPr>
        <w:t>e</w:t>
      </w:r>
      <w:r w:rsidRPr="00CA08A9">
        <w:rPr>
          <w:rFonts w:ascii="Lucida Sans Unicode" w:hAnsi="Lucida Sans Unicode"/>
          <w:bCs w:val="0"/>
          <w:spacing w:val="0"/>
          <w:sz w:val="18"/>
          <w:szCs w:val="18"/>
        </w:rPr>
        <w:t>ring af produktionsfaciliteterne, og</w:t>
      </w:r>
    </w:p>
    <w:p w:rsidR="00C07451" w:rsidRPr="00EA772E" w:rsidRDefault="00C07451" w:rsidP="00CA08A9">
      <w:pPr>
        <w:pStyle w:val="Listeafsnit"/>
        <w:numPr>
          <w:ilvl w:val="0"/>
          <w:numId w:val="14"/>
        </w:numPr>
        <w:tabs>
          <w:tab w:val="clear" w:pos="567"/>
          <w:tab w:val="clear" w:pos="1134"/>
          <w:tab w:val="clear" w:pos="1701"/>
          <w:tab w:val="clear" w:pos="1775"/>
        </w:tabs>
        <w:ind w:left="1701" w:hanging="850"/>
      </w:pPr>
      <w:r w:rsidRPr="00CA08A9">
        <w:rPr>
          <w:rFonts w:ascii="Lucida Sans Unicode" w:hAnsi="Lucida Sans Unicode"/>
          <w:bCs w:val="0"/>
          <w:spacing w:val="0"/>
          <w:sz w:val="18"/>
          <w:szCs w:val="18"/>
        </w:rPr>
        <w:t>at vedligeholde alt teknisk udstyr i aftaleperioden, herunder løbende udskifte/reparere udstyr der fejler</w:t>
      </w:r>
      <w:r w:rsidRPr="00D5783C">
        <w:rPr>
          <w:rFonts w:ascii="Lucida Sans Unicode" w:hAnsi="Lucida Sans Unicode"/>
          <w:bCs w:val="0"/>
          <w:spacing w:val="0"/>
          <w:sz w:val="18"/>
          <w:szCs w:val="18"/>
        </w:rPr>
        <w:t xml:space="preserve"> </w:t>
      </w:r>
      <w:r w:rsidRPr="00CA08A9">
        <w:rPr>
          <w:rFonts w:ascii="Lucida Sans Unicode" w:hAnsi="Lucida Sans Unicode"/>
          <w:bCs w:val="0"/>
          <w:spacing w:val="0"/>
          <w:sz w:val="18"/>
          <w:szCs w:val="18"/>
        </w:rPr>
        <w:t>med henblik på løbende igennem aftaleperioden at sikre Folketingskanalens forsyningssikkerhed.</w:t>
      </w:r>
    </w:p>
    <w:p w:rsidR="00C07451" w:rsidRDefault="00C07451" w:rsidP="00CA08A9">
      <w:pPr>
        <w:rPr>
          <w:rFonts w:cs="Lucida Sans Unicode"/>
        </w:rPr>
      </w:pPr>
    </w:p>
    <w:p w:rsidR="00C07451" w:rsidRDefault="00C07451" w:rsidP="00C07451">
      <w:pPr>
        <w:pStyle w:val="OpstilflereniveauerAlt2"/>
      </w:pPr>
      <w:r>
        <w:t>Kontraktgrundlaget består af følgende dokumenter angivet i priorit</w:t>
      </w:r>
      <w:r>
        <w:t>e</w:t>
      </w:r>
      <w:r>
        <w:t>ret rækkefølge:</w:t>
      </w:r>
    </w:p>
    <w:p w:rsidR="00C07451"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Nærværende kontrakt</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1 – Krav til opgaveløsning med Leverandørens løsningsbeskrive</w:t>
      </w:r>
      <w:r w:rsidRPr="00CA08A9">
        <w:rPr>
          <w:rFonts w:ascii="Lucida Sans Unicode" w:hAnsi="Lucida Sans Unicode"/>
          <w:bCs w:val="0"/>
          <w:spacing w:val="0"/>
          <w:sz w:val="18"/>
          <w:szCs w:val="18"/>
        </w:rPr>
        <w:t>l</w:t>
      </w:r>
      <w:r w:rsidRPr="00CA08A9">
        <w:rPr>
          <w:rFonts w:ascii="Lucida Sans Unicode" w:hAnsi="Lucida Sans Unicode"/>
          <w:bCs w:val="0"/>
          <w:spacing w:val="0"/>
          <w:sz w:val="18"/>
          <w:szCs w:val="18"/>
        </w:rPr>
        <w:t>se</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2 – Samarbejdsmodellen</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3 – Priser</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4 – Tidsplan</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5 - Skematisk oversigt over Leverandørens løsningsbeskrivelse</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6- Opsigelse og ophævelse</w:t>
      </w:r>
    </w:p>
    <w:p w:rsidR="00C07451" w:rsidRPr="00EA772E" w:rsidRDefault="00C07451" w:rsidP="00CA08A9">
      <w:pPr>
        <w:pStyle w:val="Listeafsnit"/>
        <w:numPr>
          <w:ilvl w:val="0"/>
          <w:numId w:val="16"/>
        </w:numPr>
        <w:tabs>
          <w:tab w:val="clear" w:pos="360"/>
          <w:tab w:val="clear" w:pos="567"/>
          <w:tab w:val="clear" w:pos="1134"/>
          <w:tab w:val="clear" w:pos="1701"/>
        </w:tabs>
        <w:ind w:left="1701" w:hanging="850"/>
      </w:pPr>
      <w:r w:rsidRPr="00CA08A9">
        <w:rPr>
          <w:rFonts w:ascii="Lucida Sans Unicode" w:hAnsi="Lucida Sans Unicode"/>
          <w:bCs w:val="0"/>
          <w:spacing w:val="0"/>
          <w:sz w:val="18"/>
          <w:szCs w:val="18"/>
        </w:rPr>
        <w:t>Bilag 7 – Afprøvning</w:t>
      </w:r>
    </w:p>
    <w:p w:rsidR="00C07451" w:rsidRDefault="00C07451" w:rsidP="00CA08A9">
      <w:pPr>
        <w:ind w:left="851"/>
        <w:rPr>
          <w:rFonts w:cs="Lucida Sans Unicode"/>
        </w:rPr>
      </w:pPr>
    </w:p>
    <w:p w:rsidR="00C07451" w:rsidRDefault="00C07451" w:rsidP="00CA08A9">
      <w:pPr>
        <w:ind w:left="851"/>
        <w:rPr>
          <w:rFonts w:cs="Lucida Sans Unicode"/>
        </w:rPr>
      </w:pPr>
      <w:r>
        <w:rPr>
          <w:rFonts w:cs="Lucida Sans Unicode"/>
        </w:rPr>
        <w:t xml:space="preserve">Ved indbyrdes uoverensstemmelse mellem kontraktdokumenter skal det højere rangerende dokument tillægges forrang.  </w:t>
      </w:r>
    </w:p>
    <w:p w:rsidR="00C07451" w:rsidRPr="00C07451" w:rsidRDefault="00C07451" w:rsidP="00CA08A9">
      <w:pPr>
        <w:ind w:left="851"/>
        <w:rPr>
          <w:rFonts w:cs="Lucida Sans Unicode"/>
        </w:rPr>
      </w:pPr>
    </w:p>
    <w:p w:rsidR="00590E0E" w:rsidRDefault="00CA08A9" w:rsidP="00590E0E">
      <w:pPr>
        <w:pStyle w:val="LROverskrift1Alt1"/>
      </w:pPr>
      <w:bookmarkStart w:id="15" w:name="_Toc410999448"/>
      <w:bookmarkStart w:id="16" w:name="_Toc410999587"/>
      <w:bookmarkStart w:id="17" w:name="_Toc410999870"/>
      <w:bookmarkStart w:id="18" w:name="_Toc410999997"/>
      <w:bookmarkStart w:id="19" w:name="_Toc411243008"/>
      <w:bookmarkStart w:id="20" w:name="_Toc413331404"/>
      <w:bookmarkStart w:id="21" w:name="_Toc413331550"/>
      <w:r>
        <w:t>L</w:t>
      </w:r>
      <w:r w:rsidR="00590E0E">
        <w:t>everandørens ydelse</w:t>
      </w:r>
      <w:bookmarkEnd w:id="15"/>
      <w:bookmarkEnd w:id="16"/>
      <w:bookmarkEnd w:id="17"/>
      <w:bookmarkEnd w:id="18"/>
      <w:bookmarkEnd w:id="19"/>
      <w:r w:rsidR="00E97C96">
        <w:t>,</w:t>
      </w:r>
      <w:r w:rsidR="00C07451">
        <w:t xml:space="preserve"> forhold vedr</w:t>
      </w:r>
      <w:r w:rsidR="006B3734">
        <w:t>.</w:t>
      </w:r>
      <w:r w:rsidR="00C07451">
        <w:t xml:space="preserve"> infrastruktur og teknisk udstyr</w:t>
      </w:r>
      <w:r w:rsidR="00E97C96">
        <w:t xml:space="preserve"> samt optioner</w:t>
      </w:r>
      <w:bookmarkEnd w:id="20"/>
      <w:bookmarkEnd w:id="21"/>
    </w:p>
    <w:p w:rsidR="007171E7" w:rsidRPr="00CA08A9" w:rsidRDefault="00E97C96" w:rsidP="0045514F">
      <w:pPr>
        <w:pStyle w:val="OpstilflereniveauerAlt2"/>
        <w:numPr>
          <w:ilvl w:val="0"/>
          <w:numId w:val="0"/>
        </w:numPr>
        <w:ind w:left="851"/>
        <w:rPr>
          <w:u w:val="single"/>
        </w:rPr>
      </w:pPr>
      <w:r w:rsidRPr="00CA08A9">
        <w:rPr>
          <w:u w:val="single"/>
        </w:rPr>
        <w:t>Leverandørens y</w:t>
      </w:r>
      <w:r w:rsidR="007171E7" w:rsidRPr="00CA08A9">
        <w:rPr>
          <w:u w:val="single"/>
        </w:rPr>
        <w:t>delse</w:t>
      </w:r>
    </w:p>
    <w:p w:rsidR="007171E7" w:rsidRPr="007171E7" w:rsidRDefault="007171E7" w:rsidP="0045514F">
      <w:pPr>
        <w:pStyle w:val="OpstilflereniveauerAlt2"/>
      </w:pPr>
      <w:r w:rsidRPr="007171E7">
        <w:t>Leverandøren</w:t>
      </w:r>
      <w:r w:rsidR="00C07451">
        <w:t>s materiel og ydelser skal opfylde samtlige de krav og beskrivelser, der fremgår af kontraktgrundlaget, jf. særligt bilag 1, 2, 5 og 7</w:t>
      </w:r>
      <w:r w:rsidRPr="007171E7">
        <w:t>.</w:t>
      </w:r>
      <w:r w:rsidR="00AF19CC">
        <w:t xml:space="preserve"> </w:t>
      </w:r>
    </w:p>
    <w:p w:rsidR="00C07451" w:rsidRDefault="00C07451" w:rsidP="00C07451">
      <w:pPr>
        <w:pStyle w:val="OpstilflereniveauerAlt2"/>
      </w:pPr>
      <w:r>
        <w:t>Leverandøren skal blandt andet producere og distribuere lyd og bi</w:t>
      </w:r>
      <w:r>
        <w:t>l</w:t>
      </w:r>
      <w:r>
        <w:t xml:space="preserve">lede fra </w:t>
      </w:r>
    </w:p>
    <w:p w:rsidR="00C07451" w:rsidRDefault="00C07451" w:rsidP="00C07451">
      <w:pPr>
        <w:pStyle w:val="OpstilflereniveauerAlt2"/>
        <w:numPr>
          <w:ilvl w:val="0"/>
          <w:numId w:val="11"/>
        </w:numPr>
        <w:spacing w:after="0"/>
        <w:ind w:left="1208" w:hanging="357"/>
      </w:pPr>
      <w:r>
        <w:lastRenderedPageBreak/>
        <w:t>alle møder i Folketingssalen i henhold til Folketingets til enhver tid gældende mødeplan, direkte og i mødernes fulde længde,</w:t>
      </w:r>
    </w:p>
    <w:p w:rsidR="00C07451" w:rsidRDefault="00C07451" w:rsidP="00C07451">
      <w:pPr>
        <w:pStyle w:val="OpstilflereniveauerAlt2"/>
        <w:numPr>
          <w:ilvl w:val="0"/>
          <w:numId w:val="11"/>
        </w:numPr>
        <w:spacing w:after="0"/>
        <w:ind w:left="1208" w:hanging="357"/>
      </w:pPr>
      <w:r>
        <w:t xml:space="preserve">alle åbne udvalgsmøder, direkte og i mødernes fulde længde, og </w:t>
      </w:r>
    </w:p>
    <w:p w:rsidR="00C07451" w:rsidRDefault="00C07451" w:rsidP="00C07451">
      <w:pPr>
        <w:pStyle w:val="OpstilflereniveauerAlt2"/>
        <w:numPr>
          <w:ilvl w:val="0"/>
          <w:numId w:val="11"/>
        </w:numPr>
        <w:spacing w:after="0"/>
      </w:pPr>
      <w:r>
        <w:t xml:space="preserve">udvalgte høringer i Landstingssalen, direkte og i mødernes fulde længde, jf. bilag </w:t>
      </w:r>
      <w:r w:rsidR="00D5783C">
        <w:t>1, afsnit V.2.</w:t>
      </w:r>
    </w:p>
    <w:p w:rsidR="00C07451" w:rsidRDefault="00C07451" w:rsidP="00CA08A9">
      <w:pPr>
        <w:pStyle w:val="IndrykCtrlshifta"/>
      </w:pPr>
    </w:p>
    <w:p w:rsidR="00E97C96" w:rsidRDefault="00E97C96" w:rsidP="00E97C96">
      <w:pPr>
        <w:pStyle w:val="OpstilflereniveauerAlt2"/>
      </w:pPr>
      <w:r>
        <w:t>Oversigt over folketingsmøder i 2012/13, 2013/14 og 2014/15 frem til maj 2014, udvalgsmøder i 2014, og relevante møder i Landsting</w:t>
      </w:r>
      <w:r>
        <w:t>s</w:t>
      </w:r>
      <w:r>
        <w:t>salen i 2014 samt disse møders varighed er som eksempel angivet i bilag 1. Det understreges, at angivelsen af de tidligere møders tid</w:t>
      </w:r>
      <w:r>
        <w:t>s</w:t>
      </w:r>
      <w:r>
        <w:t>mæssige placering, varighed og antal skal ses som eksempler</w:t>
      </w:r>
      <w:r w:rsidR="00D5783C">
        <w:t>. M</w:t>
      </w:r>
      <w:r>
        <w:t>ø</w:t>
      </w:r>
      <w:r>
        <w:t>derne i kontraktperioden kan blive afviklet anderledes, og Levera</w:t>
      </w:r>
      <w:r>
        <w:t>n</w:t>
      </w:r>
      <w:r>
        <w:t>døren er forpligtet til at producere og transmittere alle møder sål</w:t>
      </w:r>
      <w:r>
        <w:t>e</w:t>
      </w:r>
      <w:r>
        <w:t>des som de faktisk forløber</w:t>
      </w:r>
      <w:r w:rsidR="00D5783C">
        <w:t xml:space="preserve"> til de aftalte priser</w:t>
      </w:r>
      <w:r>
        <w:t>.</w:t>
      </w:r>
    </w:p>
    <w:p w:rsidR="00C07451" w:rsidRDefault="00C07451" w:rsidP="00C07451">
      <w:pPr>
        <w:pStyle w:val="OpstilflereniveauerAlt2"/>
      </w:pPr>
      <w:r>
        <w:t>Leverandøren skal le</w:t>
      </w:r>
      <w:r w:rsidR="00C15D04">
        <w:t xml:space="preserve">vere og installere nyt HD </w:t>
      </w:r>
      <w:r>
        <w:t>udstyr som specific</w:t>
      </w:r>
      <w:r>
        <w:t>e</w:t>
      </w:r>
      <w:r>
        <w:t xml:space="preserve">ret i bilag </w:t>
      </w:r>
      <w:r w:rsidR="00D5783C">
        <w:t>1, afsnit V.3</w:t>
      </w:r>
      <w:r>
        <w:t>.</w:t>
      </w:r>
    </w:p>
    <w:p w:rsidR="00E97C96" w:rsidRPr="00CA08A9" w:rsidRDefault="00E97C96" w:rsidP="00CA08A9">
      <w:pPr>
        <w:pStyle w:val="OpstilflereniveauerAlt2"/>
      </w:pPr>
      <w:r w:rsidRPr="00CA08A9">
        <w:t>Leverandøren er ansvarlig for løbende vedligeholdelse af både eks</w:t>
      </w:r>
      <w:r w:rsidRPr="00CA08A9">
        <w:t>i</w:t>
      </w:r>
      <w:r w:rsidRPr="00CA08A9">
        <w:t xml:space="preserve">sterende og nyt udstyr, jf. nærmere herom bilag 1, afsnit </w:t>
      </w:r>
      <w:r w:rsidR="00D5783C">
        <w:t>V.</w:t>
      </w:r>
      <w:r w:rsidRPr="00CA08A9">
        <w:t xml:space="preserve">4. Den løbende vedligeholdelse inkluderer blandt andet </w:t>
      </w:r>
      <w:r>
        <w:t xml:space="preserve">løbende </w:t>
      </w:r>
      <w:r w:rsidRPr="00CA08A9">
        <w:t xml:space="preserve">rengøring, reparation og udbedring af fejl og mangler ved </w:t>
      </w:r>
      <w:r>
        <w:t xml:space="preserve">alt teknisk </w:t>
      </w:r>
      <w:r w:rsidRPr="00CA08A9">
        <w:t>udstyr</w:t>
      </w:r>
      <w:r>
        <w:t xml:space="preserve"> e</w:t>
      </w:r>
      <w:r>
        <w:t>l</w:t>
      </w:r>
      <w:r>
        <w:t>ler udskiftning af defekt udstyr, herunder både eksisterende udstyr og det nye HD udstyr, som Leverandøren leverer. Leverandøren overtager således risikoen for fejl og mangler ved alt udstyr mod b</w:t>
      </w:r>
      <w:r>
        <w:t>e</w:t>
      </w:r>
      <w:r>
        <w:t xml:space="preserve">taling af et fast vederlag for </w:t>
      </w:r>
      <w:r w:rsidR="00D5783C">
        <w:t xml:space="preserve">den løbende </w:t>
      </w:r>
      <w:r>
        <w:t>vedligehold</w:t>
      </w:r>
      <w:r w:rsidR="00D5783C">
        <w:t>else, som måtte vise sig nødvendig</w:t>
      </w:r>
      <w:r w:rsidRPr="00CA08A9">
        <w:t xml:space="preserve">. </w:t>
      </w:r>
    </w:p>
    <w:p w:rsidR="00DC10C9" w:rsidRPr="00DC10C9" w:rsidRDefault="00F51F5E" w:rsidP="00DC10C9">
      <w:pPr>
        <w:pStyle w:val="OpstilflereniveauerAlt2"/>
      </w:pPr>
      <w:r>
        <w:t>Stipulerede</w:t>
      </w:r>
      <w:r w:rsidR="00074FE0">
        <w:t xml:space="preserve"> mængder angivet i </w:t>
      </w:r>
      <w:r w:rsidR="00D5783C">
        <w:t xml:space="preserve">Udbudsbetingelserne </w:t>
      </w:r>
      <w:r w:rsidR="00074FE0">
        <w:t>er ikke binde</w:t>
      </w:r>
      <w:r w:rsidR="00074FE0">
        <w:t>n</w:t>
      </w:r>
      <w:r w:rsidR="00074FE0">
        <w:t>de for Folketinget</w:t>
      </w:r>
      <w:r w:rsidR="00DC10C9">
        <w:rPr>
          <w:bCs/>
        </w:rPr>
        <w:t>, hverken for så vidt angår grundpakke eller opti</w:t>
      </w:r>
      <w:r w:rsidR="00DC10C9">
        <w:rPr>
          <w:bCs/>
        </w:rPr>
        <w:t>o</w:t>
      </w:r>
      <w:r w:rsidR="00DC10C9">
        <w:rPr>
          <w:bCs/>
        </w:rPr>
        <w:t>ner. Hvis Folketinget ek</w:t>
      </w:r>
      <w:r w:rsidR="009A12E8">
        <w:rPr>
          <w:bCs/>
        </w:rPr>
        <w:t>sempelvis kald</w:t>
      </w:r>
      <w:r w:rsidR="00DC10C9">
        <w:rPr>
          <w:bCs/>
        </w:rPr>
        <w:t>er en option, er Folketinget ikke forpligtet til at indkøbe den stipulerede mængde af den pågæ</w:t>
      </w:r>
      <w:r w:rsidR="00DC10C9">
        <w:rPr>
          <w:bCs/>
        </w:rPr>
        <w:t>l</w:t>
      </w:r>
      <w:r w:rsidR="00DC10C9">
        <w:rPr>
          <w:bCs/>
        </w:rPr>
        <w:t>dende option.</w:t>
      </w:r>
      <w:r w:rsidR="00D5783C">
        <w:rPr>
          <w:bCs/>
        </w:rPr>
        <w:t xml:space="preserve"> Det understreges, at Folketinget forbeholder sig ret til at købe ad hoc ydelser, jf. bilag 1, krav 2.7.1 og 2.8.1, fra anden side, og at kontrakten ikke giver Leverandøren eneret på at levere disse ydelser til Folketinget.</w:t>
      </w:r>
    </w:p>
    <w:p w:rsidR="00E97C96" w:rsidRDefault="00E97C96" w:rsidP="00E97C96">
      <w:pPr>
        <w:pStyle w:val="OpstilflereniveauerAlt2"/>
      </w:pPr>
      <w:r>
        <w:t>Leverandøren hæfter for sine underleverandørers ydelser efter de</w:t>
      </w:r>
      <w:r>
        <w:t>n</w:t>
      </w:r>
      <w:r>
        <w:t>ne kontrakt på samme måde som for sine egne forhold.</w:t>
      </w:r>
    </w:p>
    <w:p w:rsidR="00A0030A" w:rsidRPr="00CA08A9" w:rsidRDefault="00A0030A" w:rsidP="0045514F">
      <w:pPr>
        <w:pStyle w:val="OpstilflereniveauerAlt2"/>
        <w:numPr>
          <w:ilvl w:val="0"/>
          <w:numId w:val="0"/>
        </w:numPr>
        <w:ind w:left="851"/>
        <w:rPr>
          <w:u w:val="single"/>
        </w:rPr>
      </w:pPr>
      <w:r w:rsidRPr="00CA08A9">
        <w:rPr>
          <w:u w:val="single"/>
        </w:rPr>
        <w:t xml:space="preserve">Ejerskab af infrastruktur og andet teknisk </w:t>
      </w:r>
      <w:r w:rsidR="00E97C96" w:rsidRPr="00CA08A9">
        <w:rPr>
          <w:u w:val="single"/>
        </w:rPr>
        <w:t>udstyr</w:t>
      </w:r>
    </w:p>
    <w:p w:rsidR="007171E7" w:rsidRDefault="009A12E8" w:rsidP="00086A9A">
      <w:pPr>
        <w:pStyle w:val="OpstilflereniveauerAlt2"/>
      </w:pPr>
      <w:r>
        <w:lastRenderedPageBreak/>
        <w:t xml:space="preserve">Folketinget har ejendomsretten til </w:t>
      </w:r>
      <w:r w:rsidR="00E97C96">
        <w:t xml:space="preserve">al </w:t>
      </w:r>
      <w:r>
        <w:t>eksisterende infrastruktur og teknisk udstyr, der forefindes i Folketinget</w:t>
      </w:r>
      <w:r w:rsidR="00D5783C">
        <w:t xml:space="preserve"> ved kontrakten</w:t>
      </w:r>
      <w:r w:rsidR="00931936">
        <w:t>s</w:t>
      </w:r>
      <w:r w:rsidR="00D5783C">
        <w:t xml:space="preserve"> ikraf</w:t>
      </w:r>
      <w:r w:rsidR="00D5783C">
        <w:t>t</w:t>
      </w:r>
      <w:r w:rsidR="00D5783C">
        <w:t>træden</w:t>
      </w:r>
      <w:r>
        <w:t xml:space="preserve">. </w:t>
      </w:r>
      <w:r w:rsidR="00E97C96">
        <w:t>Ejendomsretten til n</w:t>
      </w:r>
      <w:r w:rsidR="00086A9A" w:rsidRPr="00086A9A">
        <w:t>yt udstyr samt ny infrastruktur</w:t>
      </w:r>
      <w:r w:rsidR="00086A9A">
        <w:t xml:space="preserve"> </w:t>
      </w:r>
      <w:r w:rsidR="00E97C96">
        <w:t>skal</w:t>
      </w:r>
      <w:r w:rsidR="00086A9A">
        <w:t xml:space="preserve"> lig</w:t>
      </w:r>
      <w:r w:rsidR="00086A9A">
        <w:t>e</w:t>
      </w:r>
      <w:r w:rsidR="00086A9A">
        <w:t xml:space="preserve">ledes </w:t>
      </w:r>
      <w:r w:rsidR="00E97C96">
        <w:t xml:space="preserve">tilhøre </w:t>
      </w:r>
      <w:r w:rsidR="00086A9A">
        <w:t>Folketinget</w:t>
      </w:r>
      <w:r w:rsidR="00086A9A" w:rsidRPr="00086A9A">
        <w:t>.</w:t>
      </w:r>
      <w:r w:rsidR="00086A9A">
        <w:t xml:space="preserve"> </w:t>
      </w:r>
      <w:r w:rsidR="00086A9A" w:rsidRPr="00086A9A">
        <w:t>I forbindelse med levering af nyt udstyr fi</w:t>
      </w:r>
      <w:r w:rsidR="00086A9A" w:rsidRPr="00086A9A">
        <w:t>n</w:t>
      </w:r>
      <w:r w:rsidR="00086A9A" w:rsidRPr="00086A9A">
        <w:t>der risikoovergang først sted, når det nye udstyr er mont</w:t>
      </w:r>
      <w:r w:rsidR="00086A9A" w:rsidRPr="00086A9A">
        <w:t>e</w:t>
      </w:r>
      <w:r w:rsidR="00086A9A" w:rsidRPr="00086A9A">
        <w:t>ret/installeret, og når Folketinget har godkendt, at der er sket en fej</w:t>
      </w:r>
      <w:r w:rsidR="00086A9A" w:rsidRPr="00086A9A">
        <w:t>l</w:t>
      </w:r>
      <w:r w:rsidR="00086A9A" w:rsidRPr="00086A9A">
        <w:t>fri levering.</w:t>
      </w:r>
      <w:r w:rsidR="00E97C96">
        <w:t xml:space="preserve"> </w:t>
      </w:r>
    </w:p>
    <w:p w:rsidR="007171E7" w:rsidRDefault="00E97C96" w:rsidP="0045514F">
      <w:pPr>
        <w:pStyle w:val="OpstilflereniveauerAlt2"/>
      </w:pPr>
      <w:r>
        <w:t xml:space="preserve">Alt eksisterende </w:t>
      </w:r>
      <w:r w:rsidR="007171E7">
        <w:t xml:space="preserve">teknisk udstyr </w:t>
      </w:r>
      <w:r>
        <w:t>er specificeret i bilag</w:t>
      </w:r>
      <w:r w:rsidR="00695FF1">
        <w:t xml:space="preserve"> 1.1</w:t>
      </w:r>
      <w:r w:rsidR="007171E7">
        <w:t>. Leverand</w:t>
      </w:r>
      <w:r w:rsidR="007171E7">
        <w:t>ø</w:t>
      </w:r>
      <w:r w:rsidR="007171E7">
        <w:t xml:space="preserve">ren </w:t>
      </w:r>
      <w:r>
        <w:t xml:space="preserve">er </w:t>
      </w:r>
      <w:r w:rsidR="007171E7">
        <w:t>forpligte</w:t>
      </w:r>
      <w:r>
        <w:t>t</w:t>
      </w:r>
      <w:r w:rsidR="007171E7">
        <w:t xml:space="preserve"> til </w:t>
      </w:r>
      <w:r>
        <w:t xml:space="preserve">løbende </w:t>
      </w:r>
      <w:r w:rsidR="007171E7">
        <w:t xml:space="preserve">at ajourføre </w:t>
      </w:r>
      <w:r>
        <w:t>en komplet udstyrs</w:t>
      </w:r>
      <w:r w:rsidR="007171E7">
        <w:t>liste</w:t>
      </w:r>
      <w:r>
        <w:t xml:space="preserve"> over Folketingets tekniske udstyr/infrastruktur og løbende opdatere</w:t>
      </w:r>
      <w:r w:rsidR="00D5783C">
        <w:t xml:space="preserve"> </w:t>
      </w:r>
      <w:r w:rsidR="007171E7">
        <w:t>Fo</w:t>
      </w:r>
      <w:r w:rsidR="007171E7">
        <w:t>l</w:t>
      </w:r>
      <w:r w:rsidR="007171E7">
        <w:t>ketinget</w:t>
      </w:r>
      <w:r>
        <w:t xml:space="preserve"> med den aktuelle liste</w:t>
      </w:r>
      <w:r w:rsidR="007171E7">
        <w:t>.</w:t>
      </w:r>
    </w:p>
    <w:p w:rsidR="007171E7" w:rsidRDefault="007171E7" w:rsidP="0045514F">
      <w:pPr>
        <w:pStyle w:val="OpstilflereniveauerAlt2"/>
      </w:pPr>
      <w:r>
        <w:t>Leverandøren indestår for, at udstyr</w:t>
      </w:r>
      <w:r w:rsidR="009A12E8">
        <w:t>, som leveres i henhold til ko</w:t>
      </w:r>
      <w:r w:rsidR="009A12E8">
        <w:t>n</w:t>
      </w:r>
      <w:r w:rsidR="009A12E8">
        <w:t>trakten,</w:t>
      </w:r>
      <w:r>
        <w:t xml:space="preserve"> er ubehæftet, når det overdrages til Folketinget.</w:t>
      </w:r>
    </w:p>
    <w:p w:rsidR="007171E7" w:rsidRPr="00CA08A9" w:rsidRDefault="00A0030A" w:rsidP="0045514F">
      <w:pPr>
        <w:pStyle w:val="OpstilflereniveauerAlt2"/>
        <w:numPr>
          <w:ilvl w:val="0"/>
          <w:numId w:val="0"/>
        </w:numPr>
        <w:ind w:left="851"/>
        <w:rPr>
          <w:u w:val="single"/>
        </w:rPr>
      </w:pPr>
      <w:r w:rsidRPr="00CA08A9">
        <w:rPr>
          <w:u w:val="single"/>
        </w:rPr>
        <w:t>Optioner</w:t>
      </w:r>
    </w:p>
    <w:p w:rsidR="007171E7" w:rsidRDefault="007171E7" w:rsidP="0045514F">
      <w:pPr>
        <w:pStyle w:val="OpstilflereniveauerAlt2"/>
      </w:pPr>
      <w:r>
        <w:t>Folketinget kan kalde en eller flere af de i bilag 1 angivne optioner</w:t>
      </w:r>
      <w:r w:rsidR="00E97C96">
        <w:t xml:space="preserve">, men er ikke forpligtet </w:t>
      </w:r>
      <w:r w:rsidR="00D5783C">
        <w:t>hertil</w:t>
      </w:r>
      <w:r>
        <w:t xml:space="preserve">. </w:t>
      </w:r>
    </w:p>
    <w:p w:rsidR="00A0030A" w:rsidRDefault="00CA08A9" w:rsidP="00A0030A">
      <w:pPr>
        <w:pStyle w:val="LROverskrift1Alt1"/>
      </w:pPr>
      <w:bookmarkStart w:id="22" w:name="_Toc410999450"/>
      <w:bookmarkStart w:id="23" w:name="_Toc410999589"/>
      <w:bookmarkStart w:id="24" w:name="_Toc410999872"/>
      <w:bookmarkStart w:id="25" w:name="_Toc410999999"/>
      <w:bookmarkStart w:id="26" w:name="_Toc411243010"/>
      <w:bookmarkStart w:id="27" w:name="_Toc413331405"/>
      <w:bookmarkStart w:id="28" w:name="_Toc413331551"/>
      <w:r>
        <w:t>S</w:t>
      </w:r>
      <w:r w:rsidR="00A0030A">
        <w:t>amarbejdsorganisation</w:t>
      </w:r>
      <w:bookmarkEnd w:id="22"/>
      <w:bookmarkEnd w:id="23"/>
      <w:bookmarkEnd w:id="24"/>
      <w:bookmarkEnd w:id="25"/>
      <w:bookmarkEnd w:id="26"/>
      <w:bookmarkEnd w:id="27"/>
      <w:bookmarkEnd w:id="28"/>
    </w:p>
    <w:p w:rsidR="00A0030A" w:rsidRDefault="00A0030A" w:rsidP="00A0030A">
      <w:pPr>
        <w:pStyle w:val="OpstilflereniveauerAlt2"/>
      </w:pPr>
      <w:r>
        <w:t>Med henblik på at formidle det fornødne samarbejde og den fornø</w:t>
      </w:r>
      <w:r>
        <w:t>d</w:t>
      </w:r>
      <w:r>
        <w:t>ne øvrige kommunikation mellem Leverandøren og Folketinget eta</w:t>
      </w:r>
      <w:r>
        <w:t>b</w:t>
      </w:r>
      <w:r>
        <w:t>leres en samarbejdsorganisation som nærmere beskrevet i bilag 2.</w:t>
      </w:r>
    </w:p>
    <w:p w:rsidR="00A0030A" w:rsidRDefault="00CA08A9" w:rsidP="00A0030A">
      <w:pPr>
        <w:pStyle w:val="LROverskrift1Alt1"/>
      </w:pPr>
      <w:bookmarkStart w:id="29" w:name="_Toc410999451"/>
      <w:bookmarkStart w:id="30" w:name="_Toc410999590"/>
      <w:bookmarkStart w:id="31" w:name="_Toc410999873"/>
      <w:bookmarkStart w:id="32" w:name="_Toc411000000"/>
      <w:bookmarkStart w:id="33" w:name="_Toc411243011"/>
      <w:bookmarkStart w:id="34" w:name="_Toc413331406"/>
      <w:bookmarkStart w:id="35" w:name="_Toc413331552"/>
      <w:r>
        <w:t>T</w:t>
      </w:r>
      <w:r w:rsidR="00A0030A">
        <w:t>estproduktion – afprøvning</w:t>
      </w:r>
      <w:bookmarkEnd w:id="29"/>
      <w:bookmarkEnd w:id="30"/>
      <w:bookmarkEnd w:id="31"/>
      <w:bookmarkEnd w:id="32"/>
      <w:bookmarkEnd w:id="33"/>
      <w:bookmarkEnd w:id="34"/>
      <w:bookmarkEnd w:id="35"/>
    </w:p>
    <w:p w:rsidR="00A0030A" w:rsidRDefault="00A0030A" w:rsidP="00D5783C">
      <w:pPr>
        <w:pStyle w:val="OpstilflereniveauerAlt2"/>
      </w:pPr>
      <w:r>
        <w:t>Leverandøren skal foretage en test</w:t>
      </w:r>
      <w:r w:rsidR="00DD5546">
        <w:t>afprøvning</w:t>
      </w:r>
      <w:r>
        <w:t xml:space="preserve"> af </w:t>
      </w:r>
      <w:r w:rsidR="00E97C96">
        <w:t xml:space="preserve">alt </w:t>
      </w:r>
      <w:r>
        <w:t>installere</w:t>
      </w:r>
      <w:r w:rsidR="00E97C96">
        <w:t>t</w:t>
      </w:r>
      <w:r>
        <w:t xml:space="preserve"> udstyr</w:t>
      </w:r>
      <w:r w:rsidR="00E97C96">
        <w:t xml:space="preserve"> og al infrastruktur, dvs. både eksisterende udstyr og infrastruktur og det nye HD udstyr</w:t>
      </w:r>
      <w:r w:rsidR="00D5783C">
        <w:t>,</w:t>
      </w:r>
      <w:r w:rsidR="00E97C96">
        <w:t xml:space="preserve"> med henblik på at vise</w:t>
      </w:r>
      <w:r>
        <w:t xml:space="preserve">, </w:t>
      </w:r>
      <w:r w:rsidR="00E97C96">
        <w:t>at udstyret</w:t>
      </w:r>
      <w:r>
        <w:t xml:space="preserve"> opfylder samtlige krav, herunder </w:t>
      </w:r>
      <w:r w:rsidR="00E97C96">
        <w:t xml:space="preserve">blandt andet </w:t>
      </w:r>
      <w:r>
        <w:t>kravene i bilag 1 og bilag 5</w:t>
      </w:r>
      <w:r w:rsidR="00D5783C">
        <w:t>, og at Leverandøren har forstået og er i stand til at overtage produkti</w:t>
      </w:r>
      <w:r w:rsidR="00D5783C">
        <w:t>o</w:t>
      </w:r>
      <w:r w:rsidR="00D5783C">
        <w:t>nen af Folketingskanalen</w:t>
      </w:r>
      <w:r>
        <w:t>. Test</w:t>
      </w:r>
      <w:r w:rsidR="00B30DF6">
        <w:t>afprøv</w:t>
      </w:r>
      <w:r>
        <w:t xml:space="preserve">ningens indhold er nærmere beskrevet i bilag 7. </w:t>
      </w:r>
    </w:p>
    <w:p w:rsidR="00A0030A" w:rsidRDefault="00A0030A" w:rsidP="00D5783C">
      <w:pPr>
        <w:pStyle w:val="OpstilflereniveauerAlt2"/>
      </w:pPr>
      <w:r>
        <w:t xml:space="preserve">Leverandøren </w:t>
      </w:r>
      <w:r w:rsidR="00E97C96">
        <w:t xml:space="preserve">skal have gennemført </w:t>
      </w:r>
      <w:r>
        <w:t>test</w:t>
      </w:r>
      <w:r w:rsidR="00F0550D">
        <w:t>afprøvningen/-</w:t>
      </w:r>
      <w:r w:rsidR="00DD5546">
        <w:t>produktionen</w:t>
      </w:r>
      <w:r w:rsidR="00E97C96">
        <w:t xml:space="preserve"> </w:t>
      </w:r>
      <w:r w:rsidR="00F0550D">
        <w:t xml:space="preserve">inden for de frister, der fremgår af </w:t>
      </w:r>
      <w:r w:rsidR="00F6531A">
        <w:t>bilag 7.</w:t>
      </w:r>
    </w:p>
    <w:p w:rsidR="00A0030A" w:rsidRDefault="00A0030A" w:rsidP="00A0030A">
      <w:pPr>
        <w:pStyle w:val="OpstilflereniveauerAlt2"/>
      </w:pPr>
      <w:r>
        <w:t>Såfremt testafprøvningen</w:t>
      </w:r>
      <w:r w:rsidR="00DD5546">
        <w:t>/-produktionen</w:t>
      </w:r>
      <w:r>
        <w:t xml:space="preserve"> ikke bestå</w:t>
      </w:r>
      <w:r w:rsidR="00D5783C">
        <w:t>s</w:t>
      </w:r>
      <w:r>
        <w:t>, afhjælper L</w:t>
      </w:r>
      <w:r>
        <w:t>e</w:t>
      </w:r>
      <w:r>
        <w:t>verandøren de konstaterede fejl. Fejlretning fortsætter, indtil testa</w:t>
      </w:r>
      <w:r>
        <w:t>f</w:t>
      </w:r>
      <w:r>
        <w:t>prøvningen</w:t>
      </w:r>
      <w:r w:rsidR="00DD5546">
        <w:t>/-produktionen</w:t>
      </w:r>
      <w:r>
        <w:t xml:space="preserve"> kan aflægges uden fejl.</w:t>
      </w:r>
    </w:p>
    <w:p w:rsidR="00A0030A" w:rsidRDefault="00CA08A9" w:rsidP="00B30DF6">
      <w:pPr>
        <w:pStyle w:val="LROverskrift1Alt1"/>
      </w:pPr>
      <w:bookmarkStart w:id="36" w:name="_Toc410999452"/>
      <w:bookmarkStart w:id="37" w:name="_Toc410999591"/>
      <w:bookmarkStart w:id="38" w:name="_Toc410999874"/>
      <w:bookmarkStart w:id="39" w:name="_Toc411000001"/>
      <w:bookmarkStart w:id="40" w:name="_Toc411243012"/>
      <w:bookmarkStart w:id="41" w:name="_Toc413331407"/>
      <w:bookmarkStart w:id="42" w:name="_Toc413331553"/>
      <w:r>
        <w:lastRenderedPageBreak/>
        <w:t>P</w:t>
      </w:r>
      <w:r w:rsidR="00B30DF6">
        <w:t>riser</w:t>
      </w:r>
      <w:bookmarkEnd w:id="36"/>
      <w:bookmarkEnd w:id="37"/>
      <w:bookmarkEnd w:id="38"/>
      <w:bookmarkEnd w:id="39"/>
      <w:bookmarkEnd w:id="40"/>
      <w:bookmarkEnd w:id="41"/>
      <w:bookmarkEnd w:id="42"/>
    </w:p>
    <w:p w:rsidR="004E5D63" w:rsidRDefault="00B30DF6" w:rsidP="0045514F">
      <w:pPr>
        <w:pStyle w:val="OpstilflereniveauerAlt2"/>
      </w:pPr>
      <w:r>
        <w:t xml:space="preserve">Alle </w:t>
      </w:r>
      <w:r w:rsidR="00D5783C">
        <w:t xml:space="preserve">Leverandørens </w:t>
      </w:r>
      <w:r>
        <w:t>priser er i danske kroner og eksklusive moms</w:t>
      </w:r>
      <w:r w:rsidR="00D5783C">
        <w:t xml:space="preserve"> og er sammenfattet i bilag 3</w:t>
      </w:r>
      <w:r>
        <w:t>.</w:t>
      </w:r>
    </w:p>
    <w:p w:rsidR="004E5D63" w:rsidRPr="004E5D63" w:rsidRDefault="004E5D63" w:rsidP="00931936">
      <w:pPr>
        <w:pStyle w:val="OpstilflereniveauerAlt2"/>
      </w:pPr>
      <w:r w:rsidRPr="004E5D63">
        <w:t xml:space="preserve">Leverandøren </w:t>
      </w:r>
      <w:r w:rsidR="00D5783C">
        <w:t>er forpligtet til at levere alle de ydelser, som fremgår af kontraktgrundlaget, uanset om der i kontraktgrundlaget er anført en pris for den pågældende (del-) ydelse. Leverandøren skal sål</w:t>
      </w:r>
      <w:r w:rsidR="00D5783C">
        <w:t>e</w:t>
      </w:r>
      <w:r w:rsidR="00D5783C">
        <w:t>des, via de priskategorier kontraktgrundlaget omfatter, indregne alle nødvendige omkostninger til at levere alle ydelser omfattet af ko</w:t>
      </w:r>
      <w:r w:rsidR="00D5783C">
        <w:t>n</w:t>
      </w:r>
      <w:r w:rsidR="00D5783C">
        <w:t xml:space="preserve">traktgrundlaget. </w:t>
      </w:r>
      <w:r w:rsidR="00931936">
        <w:t>P</w:t>
      </w:r>
      <w:r w:rsidR="00B30DF6">
        <w:t>riserne inkludere</w:t>
      </w:r>
      <w:r w:rsidR="00931936">
        <w:t>r</w:t>
      </w:r>
      <w:r w:rsidR="00B30DF6">
        <w:t xml:space="preserve"> enhver udgift, som ikke i he</w:t>
      </w:r>
      <w:r w:rsidR="00B30DF6">
        <w:t>n</w:t>
      </w:r>
      <w:r w:rsidR="00B30DF6">
        <w:t>hold til bilag 1 afholdes af Folketinget.</w:t>
      </w:r>
    </w:p>
    <w:p w:rsidR="00B30DF6" w:rsidRDefault="00B30DF6" w:rsidP="00B30DF6">
      <w:pPr>
        <w:pStyle w:val="OpstilflereniveauerAlt2"/>
      </w:pPr>
      <w:r>
        <w:t>Priserne reguleres på grundlag af den forholdsmæssige ændring i det i medfør af lovbekendtgørelse nr. 76/1999 fastsatte netto</w:t>
      </w:r>
      <w:r>
        <w:softHyphen/>
        <w:t>prisindeks for oktober måned med virkning fra den følgende januar må</w:t>
      </w:r>
      <w:r>
        <w:softHyphen/>
        <w:t xml:space="preserve">ned. Priserne er fastsat ud fra nettoprisindekset for </w:t>
      </w:r>
      <w:r w:rsidR="005A1703">
        <w:t xml:space="preserve">maj </w:t>
      </w:r>
      <w:r>
        <w:t xml:space="preserve">måned </w:t>
      </w:r>
      <w:r w:rsidR="005A1703">
        <w:t xml:space="preserve">2015 </w:t>
      </w:r>
      <w:r w:rsidRPr="008A0F1E">
        <w:t>og reguleres først</w:t>
      </w:r>
      <w:r w:rsidR="005A1703">
        <w:t>e</w:t>
      </w:r>
      <w:r w:rsidRPr="008A0F1E">
        <w:t xml:space="preserve"> gang i </w:t>
      </w:r>
      <w:r w:rsidR="005A1703">
        <w:t>maj måned 2016</w:t>
      </w:r>
      <w:r>
        <w:t xml:space="preserve">, med virkning fra </w:t>
      </w:r>
      <w:r w:rsidR="005A1703">
        <w:t>oktober 2016</w:t>
      </w:r>
      <w:r w:rsidRPr="008A0F1E">
        <w:t>.</w:t>
      </w:r>
      <w:r>
        <w:t xml:space="preserve"> </w:t>
      </w:r>
    </w:p>
    <w:p w:rsidR="00B30DF6" w:rsidRDefault="00CA08A9" w:rsidP="00B30DF6">
      <w:pPr>
        <w:pStyle w:val="LROverskrift1Alt1"/>
      </w:pPr>
      <w:bookmarkStart w:id="43" w:name="_Toc410999453"/>
      <w:bookmarkStart w:id="44" w:name="_Toc410999592"/>
      <w:bookmarkStart w:id="45" w:name="_Toc410999875"/>
      <w:bookmarkStart w:id="46" w:name="_Toc411000002"/>
      <w:bookmarkStart w:id="47" w:name="_Toc411243013"/>
      <w:bookmarkStart w:id="48" w:name="_Toc413331408"/>
      <w:bookmarkStart w:id="49" w:name="_Toc413331554"/>
      <w:r>
        <w:t>F</w:t>
      </w:r>
      <w:r w:rsidR="00B30DF6">
        <w:t>akturering og betaling</w:t>
      </w:r>
      <w:bookmarkEnd w:id="43"/>
      <w:bookmarkEnd w:id="44"/>
      <w:bookmarkEnd w:id="45"/>
      <w:bookmarkEnd w:id="46"/>
      <w:bookmarkEnd w:id="47"/>
      <w:bookmarkEnd w:id="48"/>
      <w:bookmarkEnd w:id="49"/>
    </w:p>
    <w:p w:rsidR="00B30DF6" w:rsidRDefault="00B30DF6" w:rsidP="00B30DF6">
      <w:pPr>
        <w:pStyle w:val="OpstilflereniveauerAlt2"/>
      </w:pPr>
      <w:r>
        <w:t xml:space="preserve">Løbende vederlag for tv-produktion m.v., jf. </w:t>
      </w:r>
      <w:r w:rsidR="00D5783C">
        <w:t>bilag 3</w:t>
      </w:r>
      <w:r>
        <w:t>, faktureres m</w:t>
      </w:r>
      <w:r>
        <w:t>å</w:t>
      </w:r>
      <w:r>
        <w:t>nedsvis bagud.</w:t>
      </w:r>
    </w:p>
    <w:p w:rsidR="007E4205" w:rsidRPr="007E4205" w:rsidRDefault="007E4205" w:rsidP="007E4205">
      <w:pPr>
        <w:pStyle w:val="OpstilflereniveauerAlt2"/>
      </w:pPr>
      <w:r>
        <w:t xml:space="preserve">Vederlag for HD-opgraderingen, jf. </w:t>
      </w:r>
      <w:r w:rsidR="00D5783C">
        <w:t>bilag 3</w:t>
      </w:r>
      <w:r>
        <w:t xml:space="preserve">, faktureres, når den i punkt </w:t>
      </w:r>
      <w:r w:rsidR="00D5783C">
        <w:t>5</w:t>
      </w:r>
      <w:r>
        <w:t xml:space="preserve"> </w:t>
      </w:r>
      <w:r w:rsidR="009A12E8">
        <w:t>specificered</w:t>
      </w:r>
      <w:r>
        <w:t xml:space="preserve">e afprøvning er bestået. </w:t>
      </w:r>
    </w:p>
    <w:p w:rsidR="00AF36C5" w:rsidRPr="00AF36C5" w:rsidRDefault="00AF36C5" w:rsidP="00AF36C5">
      <w:pPr>
        <w:pStyle w:val="OpstilflereniveauerAlt2"/>
      </w:pPr>
      <w:r>
        <w:t>Faktura fremsendes i overensstemmelse med de til enhver tid gæ</w:t>
      </w:r>
      <w:r>
        <w:t>l</w:t>
      </w:r>
      <w:r>
        <w:t>dende regler for elektronisk fakturering til det offentlige.</w:t>
      </w:r>
    </w:p>
    <w:p w:rsidR="00B30DF6" w:rsidRDefault="00B30DF6" w:rsidP="00B30DF6">
      <w:pPr>
        <w:pStyle w:val="OpstilflereniveauerAlt2"/>
      </w:pPr>
      <w:r>
        <w:t>Vederlag forfalder til betaling 30 dage efter modtagelse af fyldestg</w:t>
      </w:r>
      <w:r>
        <w:t>ø</w:t>
      </w:r>
      <w:r>
        <w:t>rende faktura.</w:t>
      </w:r>
    </w:p>
    <w:p w:rsidR="00B30DF6" w:rsidRDefault="00CA08A9" w:rsidP="00B30DF6">
      <w:pPr>
        <w:pStyle w:val="LROverskrift1Alt1"/>
      </w:pPr>
      <w:bookmarkStart w:id="50" w:name="_Toc410999454"/>
      <w:bookmarkStart w:id="51" w:name="_Toc410999593"/>
      <w:bookmarkStart w:id="52" w:name="_Toc410999876"/>
      <w:bookmarkStart w:id="53" w:name="_Toc411000003"/>
      <w:bookmarkStart w:id="54" w:name="_Toc411243014"/>
      <w:bookmarkStart w:id="55" w:name="_Toc413331409"/>
      <w:bookmarkStart w:id="56" w:name="_Toc413331555"/>
      <w:r>
        <w:t>L</w:t>
      </w:r>
      <w:r w:rsidR="00D5783C">
        <w:t xml:space="preserve">everandørens </w:t>
      </w:r>
      <w:proofErr w:type="spellStart"/>
      <w:r w:rsidR="00D5783C">
        <w:t>indeståelser</w:t>
      </w:r>
      <w:proofErr w:type="spellEnd"/>
      <w:r w:rsidR="00D5783C">
        <w:t xml:space="preserve"> og </w:t>
      </w:r>
      <w:r w:rsidR="0045514F">
        <w:t>G</w:t>
      </w:r>
      <w:r w:rsidR="00B30DF6">
        <w:t>aranti</w:t>
      </w:r>
      <w:bookmarkEnd w:id="50"/>
      <w:bookmarkEnd w:id="51"/>
      <w:bookmarkEnd w:id="52"/>
      <w:bookmarkEnd w:id="53"/>
      <w:bookmarkEnd w:id="54"/>
      <w:r w:rsidR="00D5783C">
        <w:t>er</w:t>
      </w:r>
      <w:bookmarkEnd w:id="55"/>
      <w:bookmarkEnd w:id="56"/>
    </w:p>
    <w:p w:rsidR="00931936" w:rsidRDefault="00B30DF6" w:rsidP="00D5783C">
      <w:pPr>
        <w:pStyle w:val="OpstilflereniveauerAlt2"/>
      </w:pPr>
      <w:r>
        <w:t xml:space="preserve">Leverandøren indestår for, at </w:t>
      </w:r>
      <w:r w:rsidR="00E97C96">
        <w:t>Leverandørens ydelse</w:t>
      </w:r>
      <w:r>
        <w:t xml:space="preserve"> opfylder </w:t>
      </w:r>
      <w:r w:rsidR="00E97C96">
        <w:t>samtl</w:t>
      </w:r>
      <w:r w:rsidR="00E97C96">
        <w:t>i</w:t>
      </w:r>
      <w:r w:rsidR="00E97C96">
        <w:t>ge krav i kontraktgrundlaget</w:t>
      </w:r>
      <w:r>
        <w:t xml:space="preserve">, </w:t>
      </w:r>
      <w:r w:rsidR="00E97C96">
        <w:t xml:space="preserve">herunder </w:t>
      </w:r>
      <w:r>
        <w:t xml:space="preserve">at </w:t>
      </w:r>
      <w:r w:rsidR="00E97C96">
        <w:t xml:space="preserve">Leverandørens ydelse </w:t>
      </w:r>
      <w:r>
        <w:t>o</w:t>
      </w:r>
      <w:r>
        <w:t>m</w:t>
      </w:r>
      <w:r>
        <w:t xml:space="preserve">fatter alle de forhold, som Folketinget med føje kan forvente </w:t>
      </w:r>
      <w:r w:rsidR="00D5783C">
        <w:t>omfattet af</w:t>
      </w:r>
      <w:r>
        <w:t xml:space="preserve"> </w:t>
      </w:r>
      <w:r w:rsidR="00E97C96">
        <w:t>kontraktgrundlaget</w:t>
      </w:r>
      <w:r w:rsidR="00D5783C">
        <w:t xml:space="preserve"> efter sædvanlig god skik inden for tv-området</w:t>
      </w:r>
      <w:r>
        <w:t>.</w:t>
      </w:r>
      <w:r w:rsidR="00D5783C">
        <w:t xml:space="preserve"> </w:t>
      </w:r>
    </w:p>
    <w:p w:rsidR="00B30DF6" w:rsidRDefault="00D5783C" w:rsidP="00D5783C">
      <w:pPr>
        <w:pStyle w:val="OpstilflereniveauerAlt2"/>
      </w:pPr>
      <w:r>
        <w:t xml:space="preserve">Leverandøren friholder Folketinget for ethvert krav, der måtte blive rejst af tredjemand mod Folketinget som følge </w:t>
      </w:r>
      <w:r w:rsidR="00CF2926">
        <w:t>af Folketinge</w:t>
      </w:r>
      <w:r>
        <w:t>t</w:t>
      </w:r>
      <w:r w:rsidR="00CF2926">
        <w:t>s</w:t>
      </w:r>
      <w:r>
        <w:t xml:space="preserve"> udny</w:t>
      </w:r>
      <w:r>
        <w:t>t</w:t>
      </w:r>
      <w:r>
        <w:t>telse af tv-produktionerne, herunder de lydoptagelser der indgår i tv-</w:t>
      </w:r>
      <w:r>
        <w:lastRenderedPageBreak/>
        <w:t>produktionerne. Forholdet mellem Leverandøren, Leverandørens medarbejdere og Leverandørens underleverandører er i det hele Folketinget uvedkommende.</w:t>
      </w:r>
    </w:p>
    <w:p w:rsidR="00D5783C" w:rsidRPr="00D5783C" w:rsidRDefault="00D5783C" w:rsidP="00D5783C">
      <w:pPr>
        <w:pStyle w:val="OpstilflereniveauerAlt2"/>
        <w:rPr>
          <w:rFonts w:cs="Lucida Sans Unicode"/>
        </w:rPr>
      </w:pPr>
      <w:r>
        <w:t>Leverandøren indestår for, at Folketinget opnår den retsstilling, som følger af pkt. 1</w:t>
      </w:r>
      <w:r w:rsidR="00CF2926">
        <w:t>6</w:t>
      </w:r>
      <w:r>
        <w:t>. Herunder indestår Leverandøren for, at Leverand</w:t>
      </w:r>
      <w:r>
        <w:t>ø</w:t>
      </w:r>
      <w:r>
        <w:t>rens medarbejdere og underleverandører har overdraget de fornø</w:t>
      </w:r>
      <w:r>
        <w:t>d</w:t>
      </w:r>
      <w:r>
        <w:t>ne rettigheder til Leverandøren, således at Leverandøren kan vid</w:t>
      </w:r>
      <w:r>
        <w:t>e</w:t>
      </w:r>
      <w:r>
        <w:t>reoverdrage samtlige de rettigheder til Folketinget, som er nødve</w:t>
      </w:r>
      <w:r>
        <w:t>n</w:t>
      </w:r>
      <w:r>
        <w:t>dige for at Folketinget opnår den retsstilling, som følger af pkt. 1</w:t>
      </w:r>
      <w:r w:rsidR="00CF2926">
        <w:t>6</w:t>
      </w:r>
      <w:r>
        <w:t>. Uanset det foranstående påhviler det Folketinget at cleare rettigh</w:t>
      </w:r>
      <w:r>
        <w:t>e</w:t>
      </w:r>
      <w:r>
        <w:t>der til underlægningsmusik, hvis Folketinget måtte beslutte at der skal anvendes musik i Folketingskanalen.</w:t>
      </w:r>
    </w:p>
    <w:p w:rsidR="00E97C96" w:rsidRDefault="00E97C96" w:rsidP="00E97C96">
      <w:pPr>
        <w:pStyle w:val="OpstilflereniveauerAlt2"/>
      </w:pPr>
      <w:r>
        <w:t>Leverandøren garanterer for alt teknisk udstyr og infrastruktur som følge af, at Leverandøren mod et fast vederlag påtager sig løbende at vedligeholde alt teknisk udstyr og infrastruktur</w:t>
      </w:r>
      <w:r w:rsidR="00D5783C">
        <w:t>, herunder reparere eller udskifte teknisk udstyr og infrastruktur</w:t>
      </w:r>
      <w:r>
        <w:t>. Leverandøren garant</w:t>
      </w:r>
      <w:r>
        <w:t>e</w:t>
      </w:r>
      <w:r>
        <w:t xml:space="preserve">rer </w:t>
      </w:r>
      <w:r w:rsidR="00D5783C">
        <w:t>endvidere</w:t>
      </w:r>
      <w:r>
        <w:t>, at udbedring af fejl på udstyr eller infrastruktur, he</w:t>
      </w:r>
      <w:r>
        <w:t>r</w:t>
      </w:r>
      <w:r>
        <w:t>under udskiftning af ud</w:t>
      </w:r>
      <w:r w:rsidR="00D5783C">
        <w:t>st</w:t>
      </w:r>
      <w:r>
        <w:t>yr/infrastruktur, ikke vil føre til, at der ikke optages lyd og billede fra samtlige møder i Folketingssalen, i udva</w:t>
      </w:r>
      <w:r>
        <w:t>l</w:t>
      </w:r>
      <w:r>
        <w:t xml:space="preserve">gene og i Landstingssalen, </w:t>
      </w:r>
      <w:r w:rsidR="00D5783C">
        <w:t>som foreskrevet i</w:t>
      </w:r>
      <w:r>
        <w:t xml:space="preserve"> bilag </w:t>
      </w:r>
      <w:r w:rsidR="00D5783C">
        <w:t>1, afsnit V.2</w:t>
      </w:r>
      <w:r>
        <w:t>. L</w:t>
      </w:r>
      <w:r>
        <w:t>e</w:t>
      </w:r>
      <w:r>
        <w:t>verandøren er forpligtet til, for egen regning, at lade optagelse og transmission af møder foretage ved hjælp af OB produktionsenheder eller lignende produktionsenheder, såfremt der måtte opstå en situ</w:t>
      </w:r>
      <w:r>
        <w:t>a</w:t>
      </w:r>
      <w:r>
        <w:t>tion, hvor der ikke kan optages fra et møde ved hjælp af det install</w:t>
      </w:r>
      <w:r>
        <w:t>e</w:t>
      </w:r>
      <w:r>
        <w:t>rede udstyr og den eksisterende infrastruktur</w:t>
      </w:r>
      <w:r w:rsidR="00C15D04">
        <w:t>, og dette skyldes o</w:t>
      </w:r>
      <w:r w:rsidR="00C15D04">
        <w:t>m</w:t>
      </w:r>
      <w:r w:rsidR="00C15D04">
        <w:t>stændigheder som Leverandøren er ansvarlig for eller bærer risik</w:t>
      </w:r>
      <w:r w:rsidR="00C15D04">
        <w:t>o</w:t>
      </w:r>
      <w:r w:rsidR="00C15D04">
        <w:t>en for</w:t>
      </w:r>
      <w:r>
        <w:t>. Det påhviler til enhver tid Leverandøren i sin planlægning at tage højde for eventuelle nødsituationer og have et beredskab klar til håndtering af nødsituationer, så Folketingskanalen</w:t>
      </w:r>
      <w:r w:rsidR="00D5783C">
        <w:t>s forsyning</w:t>
      </w:r>
      <w:r w:rsidR="00D5783C">
        <w:t>s</w:t>
      </w:r>
      <w:r w:rsidR="00D5783C">
        <w:t>sikkerhed opretholdes</w:t>
      </w:r>
      <w:r>
        <w:t xml:space="preserve">. </w:t>
      </w:r>
    </w:p>
    <w:p w:rsidR="00B30DF6" w:rsidRDefault="00CA08A9" w:rsidP="00B30DF6">
      <w:pPr>
        <w:pStyle w:val="LROverskrift1Alt1"/>
      </w:pPr>
      <w:bookmarkStart w:id="57" w:name="_Toc410999455"/>
      <w:bookmarkStart w:id="58" w:name="_Toc410999594"/>
      <w:bookmarkStart w:id="59" w:name="_Toc410999877"/>
      <w:bookmarkStart w:id="60" w:name="_Toc411000004"/>
      <w:bookmarkStart w:id="61" w:name="_Toc411243015"/>
      <w:bookmarkStart w:id="62" w:name="_Toc413331410"/>
      <w:bookmarkStart w:id="63" w:name="_Toc413331556"/>
      <w:r>
        <w:t>L</w:t>
      </w:r>
      <w:r w:rsidR="00B30DF6">
        <w:t>everandørens forsinkelse</w:t>
      </w:r>
      <w:bookmarkEnd w:id="57"/>
      <w:bookmarkEnd w:id="58"/>
      <w:bookmarkEnd w:id="59"/>
      <w:bookmarkEnd w:id="60"/>
      <w:bookmarkEnd w:id="61"/>
      <w:bookmarkEnd w:id="62"/>
      <w:bookmarkEnd w:id="63"/>
    </w:p>
    <w:p w:rsidR="00B30DF6" w:rsidRPr="00CA08A9" w:rsidRDefault="00B30DF6" w:rsidP="00B30DF6">
      <w:pPr>
        <w:pStyle w:val="OpstilflereniveauerAlt2"/>
        <w:rPr>
          <w:bCs/>
        </w:rPr>
      </w:pPr>
      <w:r>
        <w:t xml:space="preserve">Såfremt Leverandøren ikke inden den i </w:t>
      </w:r>
      <w:r w:rsidR="00931936">
        <w:t>pkt. 5.2</w:t>
      </w:r>
      <w:r>
        <w:t xml:space="preserve"> fastsatte frist har bestået testafprøvningen af udstyret, og dette ikke skyldes Folketi</w:t>
      </w:r>
      <w:r>
        <w:t>n</w:t>
      </w:r>
      <w:r>
        <w:t>gets eller tredjemands forhold, anses Leverandøren for at være i forsinkelse.</w:t>
      </w:r>
      <w:r w:rsidRPr="00CA08A9">
        <w:rPr>
          <w:b/>
        </w:rPr>
        <w:t xml:space="preserve"> </w:t>
      </w:r>
    </w:p>
    <w:p w:rsidR="00B30DF6" w:rsidRDefault="00B30DF6" w:rsidP="00B30DF6">
      <w:pPr>
        <w:pStyle w:val="OpstilflereniveauerAlt2"/>
      </w:pPr>
      <w:r>
        <w:t xml:space="preserve">Leverandøren </w:t>
      </w:r>
      <w:r w:rsidR="00931936">
        <w:t xml:space="preserve">betaler </w:t>
      </w:r>
      <w:r>
        <w:t xml:space="preserve">en bod på kr. 20.000 pr. påbegyndt </w:t>
      </w:r>
      <w:r w:rsidR="00931936">
        <w:t>forsinke</w:t>
      </w:r>
      <w:r w:rsidR="00931936">
        <w:t>l</w:t>
      </w:r>
      <w:r w:rsidR="00931936">
        <w:t>ses</w:t>
      </w:r>
      <w:r>
        <w:t>dag</w:t>
      </w:r>
      <w:r w:rsidR="00931936">
        <w:t>; forsinkelsesdage regnes i kalenderdage</w:t>
      </w:r>
      <w:r>
        <w:t>. Det samlede bodsbeløb kan ikke overstige kr. 200.000.</w:t>
      </w:r>
      <w:r w:rsidR="00931936">
        <w:t xml:space="preserve"> Det foranstående forhi</w:t>
      </w:r>
      <w:r w:rsidR="00931936">
        <w:t>n</w:t>
      </w:r>
      <w:r w:rsidR="00931936">
        <w:t>drer ikke Folketinget i at rejse et større erstatningskrav for forsinke</w:t>
      </w:r>
      <w:r w:rsidR="00931936">
        <w:t>l</w:t>
      </w:r>
      <w:r w:rsidR="00931936">
        <w:lastRenderedPageBreak/>
        <w:t>se end kr. 200.000, hvis Folketinget kan bevise at have lidt et faktisk tab, der er større end kr. 200.000.</w:t>
      </w:r>
    </w:p>
    <w:p w:rsidR="00B30DF6" w:rsidRDefault="00B30DF6" w:rsidP="00B30DF6">
      <w:pPr>
        <w:pStyle w:val="OpstilflereniveauerAlt2"/>
      </w:pPr>
      <w:r>
        <w:t>Påløbet bod betales straks efter skriftligt krav fra Folketinget. Man</w:t>
      </w:r>
      <w:r>
        <w:t>g</w:t>
      </w:r>
      <w:r>
        <w:t xml:space="preserve">lende påkrav fra Folketingets side medfører ikke, at Folketingets ret til bod fortabes.  </w:t>
      </w:r>
    </w:p>
    <w:p w:rsidR="00B30DF6" w:rsidRDefault="00B30DF6" w:rsidP="00B30DF6">
      <w:pPr>
        <w:pStyle w:val="OpstilflereniveauerAlt2"/>
      </w:pPr>
      <w:r>
        <w:t>Forsinkelse med bestået testafprøvning i mere end 20 dage medf</w:t>
      </w:r>
      <w:r>
        <w:t>ø</w:t>
      </w:r>
      <w:r>
        <w:t>rer ret til ophævelse.</w:t>
      </w:r>
    </w:p>
    <w:p w:rsidR="00B30DF6" w:rsidRDefault="00B30DF6" w:rsidP="00B30DF6">
      <w:pPr>
        <w:pStyle w:val="OpstilflereniveauerAlt2"/>
      </w:pPr>
      <w:r>
        <w:t>I øvrigt gælder dansk rets almindelige regler om beføjelser i anle</w:t>
      </w:r>
      <w:r>
        <w:t>d</w:t>
      </w:r>
      <w:r>
        <w:t>ning af forsinkelse.</w:t>
      </w:r>
    </w:p>
    <w:p w:rsidR="00B30DF6" w:rsidRDefault="00CA08A9" w:rsidP="00B30DF6">
      <w:pPr>
        <w:pStyle w:val="LROverskrift1Alt1"/>
      </w:pPr>
      <w:bookmarkStart w:id="64" w:name="_Toc410999456"/>
      <w:bookmarkStart w:id="65" w:name="_Toc410999595"/>
      <w:bookmarkStart w:id="66" w:name="_Toc410999878"/>
      <w:bookmarkStart w:id="67" w:name="_Toc411000005"/>
      <w:bookmarkStart w:id="68" w:name="_Toc411243016"/>
      <w:bookmarkStart w:id="69" w:name="_Toc413331411"/>
      <w:bookmarkStart w:id="70" w:name="_Toc413331557"/>
      <w:r>
        <w:t>M</w:t>
      </w:r>
      <w:r w:rsidR="00B30DF6">
        <w:t>angler</w:t>
      </w:r>
      <w:bookmarkEnd w:id="64"/>
      <w:bookmarkEnd w:id="65"/>
      <w:bookmarkEnd w:id="66"/>
      <w:bookmarkEnd w:id="67"/>
      <w:bookmarkEnd w:id="68"/>
      <w:bookmarkEnd w:id="69"/>
      <w:bookmarkEnd w:id="70"/>
    </w:p>
    <w:p w:rsidR="00B30DF6" w:rsidRDefault="00B30DF6" w:rsidP="00B30DF6">
      <w:pPr>
        <w:pStyle w:val="OpstilflereniveauerAlt2"/>
      </w:pPr>
      <w:r>
        <w:t xml:space="preserve">Der foreligger en mangel ved Leverandørens ydelser, såfremt disse ikke opfylder </w:t>
      </w:r>
      <w:r w:rsidR="00E97C96">
        <w:t xml:space="preserve">kontraktgrundlagets </w:t>
      </w:r>
      <w:r>
        <w:t>krav, eller tv-produktion</w:t>
      </w:r>
      <w:r w:rsidR="00E97C96">
        <w:t>en</w:t>
      </w:r>
      <w:r w:rsidR="00D5783C">
        <w:t>(</w:t>
      </w:r>
      <w:proofErr w:type="spellStart"/>
      <w:r w:rsidR="00D5783C">
        <w:t>erne</w:t>
      </w:r>
      <w:proofErr w:type="spellEnd"/>
      <w:r w:rsidR="00D5783C">
        <w:t>)</w:t>
      </w:r>
      <w:r>
        <w:t xml:space="preserve"> i øvrigt ikke er, som Folketinget med føje kunne forvente i henhold til </w:t>
      </w:r>
      <w:r w:rsidR="00E97C96">
        <w:t>kontraktgrundlaget</w:t>
      </w:r>
      <w:r>
        <w:t>.</w:t>
      </w:r>
    </w:p>
    <w:p w:rsidR="00B30DF6" w:rsidRDefault="00B30DF6" w:rsidP="00B30DF6">
      <w:pPr>
        <w:pStyle w:val="OpstilflereniveauerAlt2"/>
      </w:pPr>
      <w:r>
        <w:t>Folketinget lægger helt afgørende vægt på, at ethvert møde i Folk</w:t>
      </w:r>
      <w:r>
        <w:t>e</w:t>
      </w:r>
      <w:r>
        <w:t xml:space="preserve">tingssalen, </w:t>
      </w:r>
      <w:r w:rsidR="00931936">
        <w:t xml:space="preserve">i </w:t>
      </w:r>
      <w:r>
        <w:t>udvalge</w:t>
      </w:r>
      <w:r w:rsidR="002613C3">
        <w:t>ne og i</w:t>
      </w:r>
      <w:r w:rsidR="000D2C8B">
        <w:t xml:space="preserve"> </w:t>
      </w:r>
      <w:r>
        <w:t>Landstingssalen</w:t>
      </w:r>
      <w:r w:rsidR="00E97C96">
        <w:t xml:space="preserve"> optages med både bi</w:t>
      </w:r>
      <w:r w:rsidR="00E97C96">
        <w:t>l</w:t>
      </w:r>
      <w:r w:rsidR="00E97C96">
        <w:t>lede og lyd samt</w:t>
      </w:r>
      <w:r>
        <w:t xml:space="preserve"> tv-transmitteres</w:t>
      </w:r>
      <w:r w:rsidR="00E97C96">
        <w:t>. Der foreligger derfor</w:t>
      </w:r>
      <w:r>
        <w:t xml:space="preserve"> </w:t>
      </w:r>
      <w:r w:rsidR="00D5783C">
        <w:t>ansvarsp</w:t>
      </w:r>
      <w:r w:rsidR="00D5783C">
        <w:t>å</w:t>
      </w:r>
      <w:r w:rsidR="00D5783C">
        <w:t>dragende mangler ved Leverandørens ydelse</w:t>
      </w:r>
      <w:r>
        <w:t xml:space="preserve">, hvis Leverandøren ikke </w:t>
      </w:r>
      <w:r w:rsidR="00E97C96">
        <w:t xml:space="preserve">leverer </w:t>
      </w:r>
      <w:r>
        <w:t xml:space="preserve">tv-produktion fra ethvert møde i Folketingssalen, </w:t>
      </w:r>
      <w:r w:rsidR="002613C3">
        <w:t>i u</w:t>
      </w:r>
      <w:r w:rsidR="002613C3">
        <w:t>d</w:t>
      </w:r>
      <w:r w:rsidR="002613C3">
        <w:t>valgene og</w:t>
      </w:r>
      <w:r w:rsidR="00E97C96">
        <w:t xml:space="preserve"> i </w:t>
      </w:r>
      <w:r>
        <w:t>Landstingssalen</w:t>
      </w:r>
      <w:r w:rsidR="00E97C96">
        <w:t xml:space="preserve"> i overensstemmelse med kravene i kontraktgrundlaget</w:t>
      </w:r>
      <w:r>
        <w:t>.</w:t>
      </w:r>
      <w:r w:rsidR="00F725E8">
        <w:t xml:space="preserve"> </w:t>
      </w:r>
    </w:p>
    <w:p w:rsidR="00B30DF6" w:rsidRDefault="00B30DF6" w:rsidP="00B30DF6">
      <w:pPr>
        <w:pStyle w:val="OpstilflereniveauerAlt2"/>
      </w:pPr>
      <w:r>
        <w:t>Leverandøren er pligtig til at afhjælpe fejl og mangler samt genne</w:t>
      </w:r>
      <w:r>
        <w:t>m</w:t>
      </w:r>
      <w:r>
        <w:t>føre afhjælpning uden ugrundet ophold.</w:t>
      </w:r>
    </w:p>
    <w:p w:rsidR="00B30DF6" w:rsidRDefault="00E97C96" w:rsidP="00B30DF6">
      <w:pPr>
        <w:pStyle w:val="OpstilflereniveauerAlt2"/>
      </w:pPr>
      <w:r>
        <w:t>Kan der som følge af mangler ikke gennemføres en tv-produktion ved hjælp af Folketingets udstyr og infrastruktur, og gen</w:t>
      </w:r>
      <w:r w:rsidR="00AC2BA8">
        <w:t xml:space="preserve">nemføres tv-produktionen som følge heraf ved hjælp af OB produktionsfaciliteter eller lignende, skal Leverandøren </w:t>
      </w:r>
      <w:r w:rsidR="00D5783C">
        <w:t>friholde</w:t>
      </w:r>
      <w:r w:rsidR="00AC2BA8">
        <w:t xml:space="preserve"> Folketinget</w:t>
      </w:r>
      <w:r w:rsidR="00D5783C">
        <w:t xml:space="preserve"> for</w:t>
      </w:r>
      <w:r w:rsidR="00AC2BA8">
        <w:t xml:space="preserve"> </w:t>
      </w:r>
      <w:r w:rsidR="00D5783C">
        <w:t>mer</w:t>
      </w:r>
      <w:r w:rsidR="00AC2BA8">
        <w:t>udgi</w:t>
      </w:r>
      <w:r w:rsidR="00AC2BA8">
        <w:t>f</w:t>
      </w:r>
      <w:r w:rsidR="00AC2BA8">
        <w:t>t</w:t>
      </w:r>
      <w:r w:rsidR="00D5783C">
        <w:t>erne</w:t>
      </w:r>
      <w:r w:rsidR="00AC2BA8">
        <w:t xml:space="preserve"> til tv-produktionen</w:t>
      </w:r>
      <w:r w:rsidR="00931936">
        <w:t>, jf. også pkt. 8.4</w:t>
      </w:r>
      <w:r w:rsidR="00B30DF6">
        <w:t>.</w:t>
      </w:r>
    </w:p>
    <w:p w:rsidR="00B30DF6" w:rsidRDefault="00B30DF6" w:rsidP="00B30DF6">
      <w:pPr>
        <w:pStyle w:val="OpstilflereniveauerAlt2"/>
      </w:pPr>
      <w:r>
        <w:t>Såfremt der konstateres væsentlige mangler ved Leverandørens ydelse, er Folketinget berettiget til at hæve kontrakten helt eller de</w:t>
      </w:r>
      <w:r>
        <w:t>l</w:t>
      </w:r>
      <w:r>
        <w:t>vist.</w:t>
      </w:r>
    </w:p>
    <w:p w:rsidR="00B30DF6" w:rsidRDefault="00B30DF6" w:rsidP="00B30DF6">
      <w:pPr>
        <w:pStyle w:val="OpstilflereniveauerAlt2"/>
      </w:pPr>
      <w:r>
        <w:t>I øvrigt gælder dansk rets almindelige regler om beføjelser i anle</w:t>
      </w:r>
      <w:r>
        <w:t>d</w:t>
      </w:r>
      <w:r>
        <w:t>ning af mangler.</w:t>
      </w:r>
    </w:p>
    <w:p w:rsidR="00B30DF6" w:rsidRDefault="00CA08A9" w:rsidP="00B30DF6">
      <w:pPr>
        <w:pStyle w:val="LROverskrift1Alt1"/>
      </w:pPr>
      <w:bookmarkStart w:id="71" w:name="_Toc410999457"/>
      <w:bookmarkStart w:id="72" w:name="_Toc410999596"/>
      <w:bookmarkStart w:id="73" w:name="_Toc410999879"/>
      <w:bookmarkStart w:id="74" w:name="_Toc411000006"/>
      <w:bookmarkStart w:id="75" w:name="_Toc411243017"/>
      <w:bookmarkStart w:id="76" w:name="_Toc413331412"/>
      <w:bookmarkStart w:id="77" w:name="_Toc413331558"/>
      <w:r>
        <w:lastRenderedPageBreak/>
        <w:t>E</w:t>
      </w:r>
      <w:r w:rsidR="00B30DF6">
        <w:t>rstatningspligt</w:t>
      </w:r>
      <w:bookmarkEnd w:id="71"/>
      <w:bookmarkEnd w:id="72"/>
      <w:bookmarkEnd w:id="73"/>
      <w:bookmarkEnd w:id="74"/>
      <w:bookmarkEnd w:id="75"/>
      <w:bookmarkEnd w:id="76"/>
      <w:bookmarkEnd w:id="77"/>
      <w:r w:rsidR="008C719D">
        <w:t xml:space="preserve"> </w:t>
      </w:r>
    </w:p>
    <w:p w:rsidR="00B30DF6" w:rsidRDefault="00D5783C" w:rsidP="00B30DF6">
      <w:pPr>
        <w:pStyle w:val="OpstilflereniveauerAlt2"/>
      </w:pPr>
      <w:r>
        <w:t xml:space="preserve">Parterne </w:t>
      </w:r>
      <w:r w:rsidR="00B30DF6">
        <w:t>er erstatningspligtig</w:t>
      </w:r>
      <w:r>
        <w:t>e</w:t>
      </w:r>
      <w:r w:rsidR="00B30DF6">
        <w:t xml:space="preserve"> overfor </w:t>
      </w:r>
      <w:r>
        <w:t xml:space="preserve">hinanden </w:t>
      </w:r>
      <w:r w:rsidR="00B30DF6">
        <w:t>efter dansk rets a</w:t>
      </w:r>
      <w:r w:rsidR="00B30DF6">
        <w:t>l</w:t>
      </w:r>
      <w:r w:rsidR="00B30DF6">
        <w:t xml:space="preserve">mindelige regler. Erstatningspligten omfatter </w:t>
      </w:r>
      <w:r>
        <w:t xml:space="preserve">dog </w:t>
      </w:r>
      <w:r w:rsidR="00B30DF6">
        <w:t xml:space="preserve">ikke driftstab, tabt avance eller andet indirekte tab. </w:t>
      </w:r>
    </w:p>
    <w:p w:rsidR="00B30DF6" w:rsidRDefault="00931936" w:rsidP="00B30DF6">
      <w:pPr>
        <w:pStyle w:val="OpstilflereniveauerAlt2"/>
      </w:pPr>
      <w:r>
        <w:t xml:space="preserve">Hver parts </w:t>
      </w:r>
      <w:r w:rsidR="00B30DF6">
        <w:t xml:space="preserve">samlede erstatningsansvar </w:t>
      </w:r>
      <w:r>
        <w:t xml:space="preserve">i henhold til kontrakten </w:t>
      </w:r>
      <w:r w:rsidR="00B30DF6">
        <w:t xml:space="preserve">kan maksimalt udgøre </w:t>
      </w:r>
      <w:r w:rsidR="00D5783C">
        <w:t>et beløb svarende til den samlede kontraktsum.</w:t>
      </w:r>
    </w:p>
    <w:p w:rsidR="00B30DF6" w:rsidRDefault="00B30DF6" w:rsidP="00B30DF6">
      <w:pPr>
        <w:pStyle w:val="OpstilflereniveauerAlt2"/>
      </w:pPr>
      <w:r>
        <w:t>Erstatning kan kun kræves for forhold, der udløser betaling af bod, i den udstrækning Folketinget dokumenterer et tab ud over den beta</w:t>
      </w:r>
      <w:r>
        <w:t>l</w:t>
      </w:r>
      <w:r>
        <w:t>te bod.</w:t>
      </w:r>
    </w:p>
    <w:p w:rsidR="00B30DF6" w:rsidRDefault="00B30DF6" w:rsidP="00B30DF6">
      <w:pPr>
        <w:pStyle w:val="OpstilflereniveauerAlt2"/>
      </w:pPr>
      <w:r>
        <w:t>Om Folketingets misligholdelse af betalingsforpligtelser gælder, at Folketinget først er i misligholdelse 30 dage efter, at skriftlig rykker for Leverandørens tilgod</w:t>
      </w:r>
      <w:r w:rsidR="000D2C8B">
        <w:t>e</w:t>
      </w:r>
      <w:r>
        <w:t>havende er modtaget, jf. dog punkt 1</w:t>
      </w:r>
      <w:r w:rsidR="00D5783C">
        <w:t>2</w:t>
      </w:r>
      <w:r>
        <w:t xml:space="preserve">. </w:t>
      </w:r>
    </w:p>
    <w:p w:rsidR="00B30DF6" w:rsidRDefault="00CA08A9" w:rsidP="00B30DF6">
      <w:pPr>
        <w:pStyle w:val="LROverskrift1Alt1"/>
      </w:pPr>
      <w:bookmarkStart w:id="78" w:name="_Ref68339611"/>
      <w:bookmarkStart w:id="79" w:name="_Toc68342329"/>
      <w:bookmarkStart w:id="80" w:name="_Toc68408100"/>
      <w:bookmarkStart w:id="81" w:name="_Toc201630328"/>
      <w:bookmarkStart w:id="82" w:name="_Toc410999459"/>
      <w:bookmarkStart w:id="83" w:name="_Toc410999598"/>
      <w:bookmarkStart w:id="84" w:name="_Toc410999881"/>
      <w:bookmarkStart w:id="85" w:name="_Toc411000008"/>
      <w:bookmarkStart w:id="86" w:name="_Toc411243019"/>
      <w:bookmarkStart w:id="87" w:name="_Toc413331413"/>
      <w:bookmarkStart w:id="88" w:name="_Toc413331559"/>
      <w:r>
        <w:t>F</w:t>
      </w:r>
      <w:r w:rsidR="00B30DF6">
        <w:t>orce majeure</w:t>
      </w:r>
      <w:bookmarkEnd w:id="78"/>
      <w:bookmarkEnd w:id="79"/>
      <w:bookmarkEnd w:id="80"/>
      <w:bookmarkEnd w:id="81"/>
      <w:bookmarkEnd w:id="82"/>
      <w:bookmarkEnd w:id="83"/>
      <w:bookmarkEnd w:id="84"/>
      <w:bookmarkEnd w:id="85"/>
      <w:bookmarkEnd w:id="86"/>
      <w:bookmarkEnd w:id="87"/>
      <w:bookmarkEnd w:id="88"/>
    </w:p>
    <w:p w:rsidR="00B30DF6" w:rsidRDefault="00B30DF6" w:rsidP="00B30DF6">
      <w:pPr>
        <w:pStyle w:val="OpstilflereniveauerAlt2"/>
      </w:pPr>
      <w:r>
        <w:t>Hverken Leverandøren eller Folketinget skal i henhold til denne ko</w:t>
      </w:r>
      <w:r>
        <w:t>n</w:t>
      </w:r>
      <w:r>
        <w:t>trakt anses for ansvarlig over for den anden part, for så vidt der er tale om forhold, der ligger uden for partens kontrol, og som parten ikke ved kontraktens underskrift burde have taget i betragtning eller burde have undgået eller overvundet. Forhold hos en underlevera</w:t>
      </w:r>
      <w:r>
        <w:t>n</w:t>
      </w:r>
      <w:r>
        <w:t>dør anses kun for force majeure, såfremt der for underleverandøren foreligger en hindring, der omfattes af første punktum, og som Le</w:t>
      </w:r>
      <w:r>
        <w:softHyphen/>
        <w:t>ve</w:t>
      </w:r>
      <w:r>
        <w:softHyphen/>
        <w:t>randøren ikke burde have undgået eller have overvundet.</w:t>
      </w:r>
    </w:p>
    <w:p w:rsidR="00B30DF6" w:rsidRDefault="00B30DF6" w:rsidP="00B30DF6">
      <w:pPr>
        <w:pStyle w:val="OpstilflereniveauerAlt2"/>
      </w:pPr>
      <w:r>
        <w:t>Force majeure kan højest gælde med det antal dage, som force m</w:t>
      </w:r>
      <w:r>
        <w:t>a</w:t>
      </w:r>
      <w:r>
        <w:t>jeure-situa</w:t>
      </w:r>
      <w:r>
        <w:softHyphen/>
        <w:t>tio</w:t>
      </w:r>
      <w:r>
        <w:softHyphen/>
        <w:t>nen varer.</w:t>
      </w:r>
    </w:p>
    <w:p w:rsidR="00B30DF6" w:rsidRDefault="00B30DF6" w:rsidP="00B30DF6">
      <w:pPr>
        <w:pStyle w:val="OpstilflereniveauerAlt2"/>
      </w:pPr>
      <w:r>
        <w:t>Force majeure kan kun påberåbes, såfremt den pågældende part har givet meddelelse herom til den anden part straks efter, at force majeuren er indtrådt.</w:t>
      </w:r>
    </w:p>
    <w:p w:rsidR="00B30DF6" w:rsidRDefault="00B30DF6" w:rsidP="00B30DF6">
      <w:pPr>
        <w:pStyle w:val="OpstilflereniveauerAlt2"/>
      </w:pPr>
      <w:r>
        <w:t>Den part, der ikke er ramt af force majeure-situationen, er berettiget til helt eller delvist at annullere kontrakten med virkning for fremt</w:t>
      </w:r>
      <w:r>
        <w:t>i</w:t>
      </w:r>
      <w:r>
        <w:t>den, såfremt force majeure-situationen varer mere end 5 arbejdsd</w:t>
      </w:r>
      <w:r>
        <w:t>a</w:t>
      </w:r>
      <w:r>
        <w:t>ge.</w:t>
      </w:r>
    </w:p>
    <w:p w:rsidR="00B30DF6" w:rsidRDefault="00CA08A9" w:rsidP="00B30DF6">
      <w:pPr>
        <w:pStyle w:val="LROverskrift1Alt1"/>
      </w:pPr>
      <w:bookmarkStart w:id="89" w:name="_Toc411243020"/>
      <w:bookmarkStart w:id="90" w:name="_Toc413331414"/>
      <w:bookmarkStart w:id="91" w:name="_Toc413331560"/>
      <w:r>
        <w:t>A</w:t>
      </w:r>
      <w:r w:rsidR="0045514F">
        <w:t>nsvarsforsikring</w:t>
      </w:r>
      <w:bookmarkEnd w:id="89"/>
      <w:bookmarkEnd w:id="90"/>
      <w:bookmarkEnd w:id="91"/>
    </w:p>
    <w:p w:rsidR="00B30DF6" w:rsidRDefault="00B30DF6" w:rsidP="00B30DF6">
      <w:pPr>
        <w:pStyle w:val="OpstilflereniveauerAlt2"/>
      </w:pPr>
      <w:r>
        <w:t>Leverandøren skal i hele kontraktperioden opretholde en ansvar</w:t>
      </w:r>
      <w:r>
        <w:t>s</w:t>
      </w:r>
      <w:r>
        <w:t>forsikring hos et anerkendt forsikringsselskab, der dækker Levera</w:t>
      </w:r>
      <w:r>
        <w:t>n</w:t>
      </w:r>
      <w:r>
        <w:lastRenderedPageBreak/>
        <w:t>dørens ansvar efter kontrakten. Leverandøren skal efter anmodning fra Folketinget dokumentere, at fornøden forsikring er tegnet og o</w:t>
      </w:r>
      <w:r>
        <w:t>p</w:t>
      </w:r>
      <w:r>
        <w:t xml:space="preserve">retholdes i </w:t>
      </w:r>
      <w:r w:rsidR="00931936">
        <w:t>kontrakt</w:t>
      </w:r>
      <w:r>
        <w:t>periode</w:t>
      </w:r>
      <w:r w:rsidR="00931936">
        <w:t>n</w:t>
      </w:r>
      <w:r>
        <w:t>.</w:t>
      </w:r>
    </w:p>
    <w:p w:rsidR="00A74154" w:rsidRDefault="00CA08A9" w:rsidP="00897630">
      <w:pPr>
        <w:pStyle w:val="LROverskrift1Alt1"/>
      </w:pPr>
      <w:bookmarkStart w:id="92" w:name="_Toc413331415"/>
      <w:bookmarkStart w:id="93" w:name="_Toc413331561"/>
      <w:r>
        <w:t>K</w:t>
      </w:r>
      <w:r w:rsidR="00A74154">
        <w:t>lausul om elevpladser</w:t>
      </w:r>
      <w:bookmarkEnd w:id="92"/>
      <w:bookmarkEnd w:id="93"/>
    </w:p>
    <w:p w:rsidR="00A74154" w:rsidRDefault="00A74154" w:rsidP="00A74154">
      <w:pPr>
        <w:pStyle w:val="OpstilflereniveauerAlt2"/>
      </w:pPr>
      <w:r w:rsidRPr="00A74154">
        <w:t>Leverandøren skal sikre, at mindst 5 % af de årsværk (svarende til 1924 arbejdstimer inkl. ferie, sygdom, skoleophold mv.) der anve</w:t>
      </w:r>
      <w:r w:rsidRPr="00A74154">
        <w:t>n</w:t>
      </w:r>
      <w:r w:rsidRPr="00A74154">
        <w:t>des til at opfylde kontrakten, besættes med én eller flere elever. L</w:t>
      </w:r>
      <w:r w:rsidRPr="00A74154">
        <w:t>e</w:t>
      </w:r>
      <w:r w:rsidRPr="00A74154">
        <w:t>verandøren kan således vælge at beskæftige flere elever i en kort</w:t>
      </w:r>
      <w:r w:rsidRPr="00A74154">
        <w:t>e</w:t>
      </w:r>
      <w:r w:rsidRPr="00A74154">
        <w:t>re periode, forudsat at det samlede antal arbejdstimer, som udføres af elever, svarer til beskæftigelsen af mindst 5 % af de årsværk, der i kontraktens løbetid anvendes til at opfylde kontrakten.</w:t>
      </w:r>
    </w:p>
    <w:p w:rsidR="00A74154" w:rsidRDefault="00A74154" w:rsidP="00A74154">
      <w:pPr>
        <w:pStyle w:val="OpstilflereniveauerAlt2"/>
      </w:pPr>
      <w:r w:rsidRPr="00A74154">
        <w:t>Ved elever forstås en arbejdstager, med hvem leverandøren eller dennes underleverandører indgår eller har indgået en uddannelse</w:t>
      </w:r>
      <w:r w:rsidRPr="00A74154">
        <w:t>s</w:t>
      </w:r>
      <w:r w:rsidRPr="00A74154">
        <w:t>aftale. Uddannelsesaftalen skal indgås som led i et uddannelsesfo</w:t>
      </w:r>
      <w:r w:rsidRPr="00A74154">
        <w:t>r</w:t>
      </w:r>
      <w:r w:rsidRPr="00A74154">
        <w:t>løb, som eleven følger, og skal være rettet mod, at eleven opnår personlige, sociale og faglige kvalifikationer, som understøtter el</w:t>
      </w:r>
      <w:r w:rsidRPr="00A74154">
        <w:t>e</w:t>
      </w:r>
      <w:r w:rsidRPr="00A74154">
        <w:t>vens uddannelsesforløb, og som giver grundlag for beskæftigelse på arbejdsmarkedet.</w:t>
      </w:r>
    </w:p>
    <w:p w:rsidR="00A74154" w:rsidRDefault="00A74154" w:rsidP="00A74154">
      <w:pPr>
        <w:pStyle w:val="OpstilflereniveauerAlt2"/>
      </w:pPr>
      <w:r w:rsidRPr="00A74154">
        <w:t>Uddannelsesforløb i medfør af lovbekendtgørelse nr. 987 af 16. a</w:t>
      </w:r>
      <w:r w:rsidRPr="00A74154">
        <w:t>u</w:t>
      </w:r>
      <w:r w:rsidRPr="00A74154">
        <w:t>gust 2010 om erhvervsgrunduddannelser m.v. og i medfør af lovb</w:t>
      </w:r>
      <w:r w:rsidRPr="00A74154">
        <w:t>e</w:t>
      </w:r>
      <w:r w:rsidRPr="00A74154">
        <w:t>kendtgørelse nr. 439 af 29. april 2013 om erhvervsuddannelser a</w:t>
      </w:r>
      <w:r w:rsidRPr="00A74154">
        <w:t>n</w:t>
      </w:r>
      <w:r w:rsidRPr="00A74154">
        <w:t>ses at opfylde ovenstående krav til uddannelsesforløb. Leverand</w:t>
      </w:r>
      <w:r w:rsidRPr="00A74154">
        <w:t>ø</w:t>
      </w:r>
      <w:r w:rsidRPr="00A74154">
        <w:t>ren eller dennes underleverandører kan indgå uddannelsesaftaler om uddannelsesforløb i medfør af andre tilsvarende uddannelse</w:t>
      </w:r>
      <w:r w:rsidRPr="00A74154">
        <w:t>s</w:t>
      </w:r>
      <w:r w:rsidRPr="00A74154">
        <w:t>ordninger i EU/EØS, herunder med elever fra andre EU/EØS-lande, som opfylder ovenstående krav til et uddannelsesforløb.</w:t>
      </w:r>
    </w:p>
    <w:p w:rsidR="00A74154" w:rsidRDefault="00A74154" w:rsidP="00A74154">
      <w:pPr>
        <w:pStyle w:val="OpstilflereniveauerAlt2"/>
      </w:pPr>
      <w:r w:rsidRPr="00A74154">
        <w:t xml:space="preserve">Leverandøren kan opfylde sin forpligtelse til at beskæftige elever ved at overføre personer, som ved kontraktens indgåelse </w:t>
      </w:r>
      <w:r>
        <w:t xml:space="preserve">allerede </w:t>
      </w:r>
      <w:r w:rsidRPr="00A74154">
        <w:t>har en uddannelsesaftale med Leverandøren, til den udbudte ko</w:t>
      </w:r>
      <w:r w:rsidRPr="00A74154">
        <w:t>n</w:t>
      </w:r>
      <w:r w:rsidRPr="00A74154">
        <w:t>trakt.</w:t>
      </w:r>
    </w:p>
    <w:p w:rsidR="00360A20" w:rsidRDefault="00A74154" w:rsidP="00A74154">
      <w:pPr>
        <w:pStyle w:val="OpstilflereniveauerAlt2"/>
      </w:pPr>
      <w:r w:rsidRPr="00A74154">
        <w:t xml:space="preserve">Leverandøren skal på ordregiverens anmodning dokumentere, at kravet om beskæftigelse af elever er opfyldt. </w:t>
      </w:r>
    </w:p>
    <w:p w:rsidR="00A74154" w:rsidRPr="00A74154" w:rsidRDefault="00A74154" w:rsidP="00A74154">
      <w:pPr>
        <w:pStyle w:val="OpstilflereniveauerAlt2"/>
      </w:pPr>
      <w:r w:rsidRPr="00A74154">
        <w:t>Manglende brug af elever betragtes som en misligholdelse af ko</w:t>
      </w:r>
      <w:r w:rsidRPr="00A74154">
        <w:t>n</w:t>
      </w:r>
      <w:r w:rsidRPr="00A74154">
        <w:t>trakten. Klausulen bortfalder dog, hvis Leverandøren kan påvise, at det</w:t>
      </w:r>
      <w:r w:rsidR="00124AA9">
        <w:t xml:space="preserve"> -</w:t>
      </w:r>
      <w:r w:rsidRPr="00A74154">
        <w:t xml:space="preserve"> trods en rimelig og aktiv indsats fra Leverandørens side</w:t>
      </w:r>
      <w:r w:rsidR="00124AA9">
        <w:t xml:space="preserve"> -</w:t>
      </w:r>
      <w:r w:rsidRPr="00A74154">
        <w:t xml:space="preserve"> ikke har været muligt at indgå uddannelsesaftaler til besættelse af stilli</w:t>
      </w:r>
      <w:r w:rsidRPr="00A74154">
        <w:t>n</w:t>
      </w:r>
      <w:r w:rsidRPr="00A74154">
        <w:t>ger med elever.</w:t>
      </w:r>
    </w:p>
    <w:p w:rsidR="00A74154" w:rsidRDefault="00CA08A9" w:rsidP="002F4E9A">
      <w:pPr>
        <w:pStyle w:val="LROverskrift1Alt1"/>
      </w:pPr>
      <w:bookmarkStart w:id="94" w:name="_Toc413331416"/>
      <w:bookmarkStart w:id="95" w:name="_Toc413331562"/>
      <w:r>
        <w:lastRenderedPageBreak/>
        <w:t>A</w:t>
      </w:r>
      <w:r w:rsidR="00124AA9">
        <w:t>rbejdsklausul</w:t>
      </w:r>
      <w:bookmarkEnd w:id="94"/>
      <w:bookmarkEnd w:id="95"/>
    </w:p>
    <w:p w:rsidR="00124AA9" w:rsidRDefault="007C6BC3">
      <w:pPr>
        <w:pStyle w:val="OpstilflereniveauerAlt2"/>
      </w:pPr>
      <w:r w:rsidRPr="007C6BC3">
        <w:t>Leverandøren skal si</w:t>
      </w:r>
      <w:r w:rsidR="00360A20">
        <w:t>kre, at ansatte hos L</w:t>
      </w:r>
      <w:r w:rsidR="00ED3546">
        <w:t>everandøren</w:t>
      </w:r>
      <w:r w:rsidRPr="007C6BC3">
        <w:t xml:space="preserve"> og eventuelle underleverandører, som medvirker til at opfylde kontrakten, er sikret løn (herunder særlige ydelser), arbejdstid og andre arbejdsvilkår, som ikke er mindre gunstige end dem, der gælder for arbejde af samme art i henhold til en kollektiv overenskomst indgået af de i</w:t>
      </w:r>
      <w:r w:rsidRPr="007C6BC3">
        <w:t>n</w:t>
      </w:r>
      <w:r w:rsidRPr="007C6BC3">
        <w:t>den for det pågældende faglige område mest repræsentative a</w:t>
      </w:r>
      <w:r w:rsidRPr="007C6BC3">
        <w:t>r</w:t>
      </w:r>
      <w:r w:rsidRPr="007C6BC3">
        <w:t>bejdsmarkedsparter i</w:t>
      </w:r>
      <w:r>
        <w:t xml:space="preserve"> Danmark,</w:t>
      </w:r>
      <w:r w:rsidRPr="007C6BC3">
        <w:t xml:space="preserve"> og som gælder på hele det danske område.</w:t>
      </w:r>
    </w:p>
    <w:p w:rsidR="007C6BC3" w:rsidRDefault="007C6BC3" w:rsidP="007C6BC3">
      <w:pPr>
        <w:pStyle w:val="OpstilflereniveauerAlt2"/>
      </w:pPr>
      <w:r>
        <w:t>Leverandøren skal sikre, at</w:t>
      </w:r>
      <w:r w:rsidRPr="007C6BC3">
        <w:t xml:space="preserve"> ansatte</w:t>
      </w:r>
      <w:r w:rsidR="00360A20">
        <w:t xml:space="preserve"> hos L</w:t>
      </w:r>
      <w:r>
        <w:t>eve</w:t>
      </w:r>
      <w:r w:rsidR="00ED3546">
        <w:t>randøren</w:t>
      </w:r>
      <w:r>
        <w:t xml:space="preserve"> og eventuelle underleverandører bliver orienteret</w:t>
      </w:r>
      <w:r w:rsidRPr="007C6BC3">
        <w:t xml:space="preserve"> om de gældende </w:t>
      </w:r>
      <w:r>
        <w:t xml:space="preserve">løn- og </w:t>
      </w:r>
      <w:r w:rsidRPr="007C6BC3">
        <w:t>a</w:t>
      </w:r>
      <w:r w:rsidRPr="007C6BC3">
        <w:t>r</w:t>
      </w:r>
      <w:r w:rsidRPr="007C6BC3">
        <w:t>bejdsvilkår.</w:t>
      </w:r>
    </w:p>
    <w:p w:rsidR="00ED3546" w:rsidRDefault="00ED3546" w:rsidP="00ED3546">
      <w:pPr>
        <w:pStyle w:val="OpstilflereniveauerAlt2"/>
      </w:pPr>
      <w:r w:rsidRPr="00ED3546">
        <w:t>Ordregiver kan til enhver tid udbede sig relevant dokumentation for, at løn- og arbejdsvilkår for arbejdstagerne lever op til den forpligte</w:t>
      </w:r>
      <w:r w:rsidRPr="00ED3546">
        <w:t>l</w:t>
      </w:r>
      <w:r w:rsidRPr="00ED3546">
        <w:t xml:space="preserve">se, som arbejdsklausulen fastsætter. </w:t>
      </w:r>
    </w:p>
    <w:p w:rsidR="007C6BC3" w:rsidRPr="007C6BC3" w:rsidRDefault="00D26A08" w:rsidP="00D26A08">
      <w:pPr>
        <w:pStyle w:val="OpstilflereniveauerAlt2"/>
      </w:pPr>
      <w:r w:rsidRPr="00D26A08">
        <w:t>Hvis leverandøren ikke overholder sine forpligtelser i medfør af a</w:t>
      </w:r>
      <w:r w:rsidRPr="00D26A08">
        <w:t>r</w:t>
      </w:r>
      <w:r w:rsidRPr="00D26A08">
        <w:t>bejdsklausulen, og hvis dette medfører et berettiget krav på yderl</w:t>
      </w:r>
      <w:r w:rsidRPr="00D26A08">
        <w:t>i</w:t>
      </w:r>
      <w:r w:rsidRPr="00D26A08">
        <w:t>gere løn fra arbejdstagerne, kan ordregiver tilbageholde vederlag med henblik på at tilgodese sådanne krav.</w:t>
      </w:r>
      <w:r w:rsidR="007C6BC3">
        <w:t xml:space="preserve"> </w:t>
      </w:r>
    </w:p>
    <w:p w:rsidR="00B30DF6" w:rsidRDefault="00CA08A9" w:rsidP="00B30DF6">
      <w:pPr>
        <w:pStyle w:val="LROverskrift1Alt1"/>
      </w:pPr>
      <w:bookmarkStart w:id="96" w:name="_Toc68342331"/>
      <w:bookmarkStart w:id="97" w:name="_Toc68408102"/>
      <w:bookmarkStart w:id="98" w:name="_Toc201630330"/>
      <w:bookmarkStart w:id="99" w:name="_Toc410999461"/>
      <w:bookmarkStart w:id="100" w:name="_Toc410999600"/>
      <w:bookmarkStart w:id="101" w:name="_Toc410999883"/>
      <w:bookmarkStart w:id="102" w:name="_Toc411000010"/>
      <w:bookmarkStart w:id="103" w:name="_Toc411243021"/>
      <w:bookmarkStart w:id="104" w:name="_Toc413331417"/>
      <w:bookmarkStart w:id="105" w:name="_Toc413331563"/>
      <w:r>
        <w:t>R</w:t>
      </w:r>
      <w:r w:rsidR="00B30DF6">
        <w:t>ettigheder</w:t>
      </w:r>
      <w:bookmarkEnd w:id="96"/>
      <w:bookmarkEnd w:id="97"/>
      <w:bookmarkEnd w:id="98"/>
      <w:bookmarkEnd w:id="99"/>
      <w:bookmarkEnd w:id="100"/>
      <w:bookmarkEnd w:id="101"/>
      <w:bookmarkEnd w:id="102"/>
      <w:bookmarkEnd w:id="103"/>
      <w:bookmarkEnd w:id="104"/>
      <w:bookmarkEnd w:id="105"/>
    </w:p>
    <w:p w:rsidR="00B20BF2" w:rsidRDefault="005F0CC4" w:rsidP="005F0CC4">
      <w:pPr>
        <w:pStyle w:val="OpstilflereniveauerAlt2"/>
      </w:pPr>
      <w:r w:rsidRPr="005F0CC4">
        <w:t xml:space="preserve">Folketinget har </w:t>
      </w:r>
      <w:r w:rsidR="00D5783C">
        <w:t>eksklusivt, tidsubegrænset og uden territorielle b</w:t>
      </w:r>
      <w:r w:rsidR="00D5783C">
        <w:t>e</w:t>
      </w:r>
      <w:r w:rsidR="00D5783C">
        <w:t>grænsninger eneret til at anvende alle de lyd– og billedoptagelser, som Leverandøren foretaget i henhold til kontrakten, og den fulde ejendomsret til alle de lyd- og billedoptagelser, som foretages i he</w:t>
      </w:r>
      <w:r w:rsidR="00D5783C">
        <w:t>n</w:t>
      </w:r>
      <w:r w:rsidR="00D5783C">
        <w:t>hold til kontrakten.</w:t>
      </w:r>
      <w:r w:rsidR="00CB06FF">
        <w:t xml:space="preserve"> </w:t>
      </w:r>
      <w:r w:rsidR="00D5783C">
        <w:t>Dette giver fx Folketinget følgende rettigheder:</w:t>
      </w:r>
    </w:p>
    <w:p w:rsidR="005F0CC4" w:rsidRDefault="00D5783C" w:rsidP="00CA08A9">
      <w:pPr>
        <w:pStyle w:val="OpstilflereniveauerAlt2"/>
        <w:numPr>
          <w:ilvl w:val="0"/>
          <w:numId w:val="0"/>
        </w:numPr>
        <w:ind w:left="851"/>
      </w:pPr>
      <w:r>
        <w:t>E</w:t>
      </w:r>
      <w:r w:rsidR="005F0CC4" w:rsidRPr="005F0CC4">
        <w:t xml:space="preserve">neret til at foretage </w:t>
      </w:r>
      <w:r>
        <w:t xml:space="preserve">enhver </w:t>
      </w:r>
      <w:r w:rsidR="005F0CC4" w:rsidRPr="005F0CC4">
        <w:t>eksemplarfremstilling og tilgængeligg</w:t>
      </w:r>
      <w:r w:rsidR="005F0CC4" w:rsidRPr="005F0CC4">
        <w:t>ø</w:t>
      </w:r>
      <w:r w:rsidR="005F0CC4" w:rsidRPr="005F0CC4">
        <w:t>relse for almenheden i oprindelig eller ændret skik</w:t>
      </w:r>
      <w:r w:rsidR="00CB06FF">
        <w:t xml:space="preserve">kelse af </w:t>
      </w:r>
      <w:r>
        <w:t>tv-</w:t>
      </w:r>
      <w:r w:rsidR="00CB06FF">
        <w:t>p</w:t>
      </w:r>
      <w:r w:rsidR="005F0CC4" w:rsidRPr="005F0CC4">
        <w:t>roduktione</w:t>
      </w:r>
      <w:r>
        <w:t xml:space="preserve">rne ved hjælp </w:t>
      </w:r>
      <w:r w:rsidRPr="005F0CC4">
        <w:t>af ethvert teknisk hjælpemiddel og enhver distributionsform</w:t>
      </w:r>
      <w:r w:rsidR="005F0CC4" w:rsidRPr="005F0CC4">
        <w:t>, herunder primær tv-udsendelse, videreudsendelse af tv-kanalen via kabelanlæg, tilgængeliggørelse på internettet</w:t>
      </w:r>
      <w:r w:rsidR="00931936">
        <w:t xml:space="preserve"> via </w:t>
      </w:r>
      <w:proofErr w:type="spellStart"/>
      <w:r w:rsidR="00931936">
        <w:t>streaming</w:t>
      </w:r>
      <w:proofErr w:type="spellEnd"/>
      <w:r w:rsidR="00931936">
        <w:t xml:space="preserve"> eller </w:t>
      </w:r>
      <w:proofErr w:type="spellStart"/>
      <w:r w:rsidR="00931936">
        <w:t>on</w:t>
      </w:r>
      <w:proofErr w:type="spellEnd"/>
      <w:r w:rsidR="00931936">
        <w:t xml:space="preserve"> </w:t>
      </w:r>
      <w:proofErr w:type="spellStart"/>
      <w:r w:rsidR="00931936">
        <w:t>demand</w:t>
      </w:r>
      <w:proofErr w:type="spellEnd"/>
      <w:r w:rsidR="00931936">
        <w:t xml:space="preserve"> tjenester</w:t>
      </w:r>
      <w:r w:rsidR="005F0CC4" w:rsidRPr="005F0CC4">
        <w:t xml:space="preserve">, udgivelse af DVD, </w:t>
      </w:r>
      <w:proofErr w:type="spellStart"/>
      <w:r w:rsidR="005F0CC4" w:rsidRPr="005F0CC4">
        <w:t>CD-Rom</w:t>
      </w:r>
      <w:proofErr w:type="spellEnd"/>
      <w:r w:rsidR="005F0CC4" w:rsidRPr="005F0CC4">
        <w:t xml:space="preserve"> mv.</w:t>
      </w:r>
    </w:p>
    <w:p w:rsidR="005F0CC4" w:rsidRDefault="005F0CC4" w:rsidP="005F0CC4">
      <w:pPr>
        <w:pStyle w:val="OpstilflereniveauerAlt2"/>
      </w:pPr>
      <w:r w:rsidRPr="005F0CC4">
        <w:t xml:space="preserve">Folketinget kan frit - både helt eller delvist – </w:t>
      </w:r>
      <w:r w:rsidR="00D5783C">
        <w:t>ændre i foretagne opt</w:t>
      </w:r>
      <w:r w:rsidR="00D5783C">
        <w:t>a</w:t>
      </w:r>
      <w:r w:rsidR="00D5783C">
        <w:t xml:space="preserve">gelser og kan frit </w:t>
      </w:r>
      <w:r w:rsidRPr="005F0CC4">
        <w:t>videreoverdrage rettigheder til tredjemand. O</w:t>
      </w:r>
      <w:r w:rsidRPr="005F0CC4">
        <w:t>p</w:t>
      </w:r>
      <w:r w:rsidRPr="005F0CC4">
        <w:t xml:space="preserve">havsretslovens § 56 finder ikke </w:t>
      </w:r>
      <w:r w:rsidR="00D5783C">
        <w:t xml:space="preserve">således </w:t>
      </w:r>
      <w:r w:rsidRPr="005F0CC4">
        <w:t>anvendelse.</w:t>
      </w:r>
    </w:p>
    <w:p w:rsidR="00D5783C" w:rsidRDefault="00D5783C" w:rsidP="00D5783C">
      <w:pPr>
        <w:pStyle w:val="OpstilflereniveauerAlt2"/>
      </w:pPr>
      <w:r>
        <w:lastRenderedPageBreak/>
        <w:t>Parterne er enige om, at der på grund af den tekniske karakter af de lyd- og billedoptagelser, Leverandøren skal foretage, ikke er grun</w:t>
      </w:r>
      <w:r>
        <w:t>d</w:t>
      </w:r>
      <w:r>
        <w:t>lag for at kreditere nogen af de personer, der medvirker til tv-produktionerne, efter ophavsretslovens § 3, stk. 1.</w:t>
      </w:r>
    </w:p>
    <w:p w:rsidR="00D5783C" w:rsidRDefault="00D5783C" w:rsidP="00D5783C">
      <w:pPr>
        <w:pStyle w:val="OpstilflereniveauerAlt2"/>
      </w:pPr>
      <w:r w:rsidRPr="005F0CC4">
        <w:t xml:space="preserve">Folketinget har </w:t>
      </w:r>
      <w:r>
        <w:t>eksklusivt, tidsubegrænset og uden territorielle b</w:t>
      </w:r>
      <w:r>
        <w:t>e</w:t>
      </w:r>
      <w:r>
        <w:t>grænsninger eneret til at anvende enhver øvrig frembringelse, som Leverandøren skaber eller fremstiller med henblik på at opfylde ko</w:t>
      </w:r>
      <w:r>
        <w:t>n</w:t>
      </w:r>
      <w:r>
        <w:t>trakten, herunder fx nye, selvstændige edb-programmer eller græ</w:t>
      </w:r>
      <w:r>
        <w:t>n</w:t>
      </w:r>
      <w:r>
        <w:t>sefladespecifikationer og lignende tekniske løsninger som har til formål at få de tekniske dele og udstyr, som indgår i Leverandørens ydelse, til at fungere efter hensigten. Folketinget har den fulde eje</w:t>
      </w:r>
      <w:r>
        <w:t>n</w:t>
      </w:r>
      <w:r>
        <w:t>domsret til alle disse øvrige frembringelser.</w:t>
      </w:r>
    </w:p>
    <w:p w:rsidR="00CF4A68" w:rsidRDefault="00CF4A68" w:rsidP="00CF4A68">
      <w:pPr>
        <w:pStyle w:val="OpstilflereniveauerAlt2"/>
      </w:pPr>
      <w:r>
        <w:t>I den udstrækning Folketinget, eller hvem Folketinget måtte ove</w:t>
      </w:r>
      <w:r>
        <w:t>r</w:t>
      </w:r>
      <w:r>
        <w:t>drage rettigheder til, ønsker registrering af rettigheder, som kan r</w:t>
      </w:r>
      <w:r>
        <w:t>e</w:t>
      </w:r>
      <w:r>
        <w:t>gistreres, er Leverandøren, Leverandørens medarbejdere og Lev</w:t>
      </w:r>
      <w:r>
        <w:t>e</w:t>
      </w:r>
      <w:r>
        <w:t>randørens underleverandører forpligtet til i enhver henseende at medvirke hertil, i det omfang Leverandørens medvirken er nødve</w:t>
      </w:r>
      <w:r>
        <w:t>n</w:t>
      </w:r>
      <w:r>
        <w:t>dig for en registrering.</w:t>
      </w:r>
    </w:p>
    <w:p w:rsidR="00B30DF6" w:rsidRDefault="00CA08A9" w:rsidP="00B30DF6">
      <w:pPr>
        <w:pStyle w:val="LROverskrift1Alt1"/>
      </w:pPr>
      <w:bookmarkStart w:id="106" w:name="_Toc68342332"/>
      <w:bookmarkStart w:id="107" w:name="_Toc68408103"/>
      <w:bookmarkStart w:id="108" w:name="_Toc201630331"/>
      <w:bookmarkStart w:id="109" w:name="_Toc410999462"/>
      <w:bookmarkStart w:id="110" w:name="_Toc410999601"/>
      <w:bookmarkStart w:id="111" w:name="_Toc410999884"/>
      <w:bookmarkStart w:id="112" w:name="_Toc411000011"/>
      <w:bookmarkStart w:id="113" w:name="_Toc411243022"/>
      <w:bookmarkStart w:id="114" w:name="_Toc413331418"/>
      <w:bookmarkStart w:id="115" w:name="_Toc413331564"/>
      <w:r>
        <w:t>N</w:t>
      </w:r>
      <w:r w:rsidR="00B30DF6">
        <w:t>øglekort</w:t>
      </w:r>
      <w:bookmarkEnd w:id="106"/>
      <w:bookmarkEnd w:id="107"/>
      <w:bookmarkEnd w:id="108"/>
      <w:bookmarkEnd w:id="109"/>
      <w:bookmarkEnd w:id="110"/>
      <w:bookmarkEnd w:id="111"/>
      <w:bookmarkEnd w:id="112"/>
      <w:bookmarkEnd w:id="113"/>
      <w:bookmarkEnd w:id="114"/>
      <w:bookmarkEnd w:id="115"/>
    </w:p>
    <w:p w:rsidR="00B30DF6" w:rsidRDefault="00B30DF6" w:rsidP="00B30DF6">
      <w:pPr>
        <w:pStyle w:val="OpstilflereniveauerAlt2"/>
      </w:pPr>
      <w:r>
        <w:t>Folketinget udleverer det nødvendige antal nøgler og adgangskort, der skal anven</w:t>
      </w:r>
      <w:r>
        <w:softHyphen/>
        <w:t>des og opbevares forsvarligt af Leverandøren. Lev</w:t>
      </w:r>
      <w:r>
        <w:t>e</w:t>
      </w:r>
      <w:r>
        <w:t>randøren kvitterer for modtagelse af udleverede nøgler og adgang</w:t>
      </w:r>
      <w:r>
        <w:t>s</w:t>
      </w:r>
      <w:r>
        <w:t>kort til Folketinget. Ved fratræden af medarbejdere skal Leverand</w:t>
      </w:r>
      <w:r>
        <w:t>ø</w:t>
      </w:r>
      <w:r>
        <w:t>ren sikre, at udleverede nøgler og adgangskort afleveres til Folk</w:t>
      </w:r>
      <w:r>
        <w:t>e</w:t>
      </w:r>
      <w:r>
        <w:t>tingets Brugercenter.</w:t>
      </w:r>
    </w:p>
    <w:p w:rsidR="00B30DF6" w:rsidRDefault="00B30DF6" w:rsidP="00B30DF6">
      <w:pPr>
        <w:pStyle w:val="OpstilflereniveauerAlt2"/>
      </w:pPr>
      <w:r>
        <w:t>Leverandøren skal omgående give meddelelse til Folketinget, hvis nøgler eller adgangskort bortkommer. Leverandøren erstatter de udgifter, som Folketinget afholder til erstatning af bortkomne nøgler eller adgangskort, herunder tillige udgifter til omstilling eller udskif</w:t>
      </w:r>
      <w:r>
        <w:t>t</w:t>
      </w:r>
      <w:r>
        <w:t>ning af hovednøgler.</w:t>
      </w:r>
      <w:bookmarkStart w:id="116" w:name="_Toc68342333"/>
      <w:bookmarkStart w:id="117" w:name="_Toc68408104"/>
      <w:bookmarkStart w:id="118" w:name="_Toc201630332"/>
    </w:p>
    <w:p w:rsidR="005251DE" w:rsidRDefault="00CA08A9" w:rsidP="005251DE">
      <w:pPr>
        <w:pStyle w:val="LROverskrift1Alt1"/>
      </w:pPr>
      <w:bookmarkStart w:id="119" w:name="_Toc413331419"/>
      <w:bookmarkStart w:id="120" w:name="_Toc413331565"/>
      <w:bookmarkStart w:id="121" w:name="_Toc410999463"/>
      <w:bookmarkStart w:id="122" w:name="_Toc410999602"/>
      <w:bookmarkStart w:id="123" w:name="_Toc410999885"/>
      <w:bookmarkStart w:id="124" w:name="_Toc411000012"/>
      <w:bookmarkStart w:id="125" w:name="_Toc411243023"/>
      <w:r>
        <w:t>S</w:t>
      </w:r>
      <w:r w:rsidR="005251DE">
        <w:t>ikkerhedsgodkendelse</w:t>
      </w:r>
      <w:bookmarkEnd w:id="119"/>
      <w:bookmarkEnd w:id="120"/>
    </w:p>
    <w:p w:rsidR="0063704B" w:rsidRDefault="005251DE" w:rsidP="0063704B">
      <w:pPr>
        <w:pStyle w:val="OpstilflereniveauerAlt2"/>
      </w:pPr>
      <w:r>
        <w:t>Der kræves sikkerhedsgodkendelse for leverandørens medarbejd</w:t>
      </w:r>
      <w:r>
        <w:t>e</w:t>
      </w:r>
      <w:r>
        <w:t>re, som skal have adgang til Folketingets serverrum. Sikkerhed</w:t>
      </w:r>
      <w:r>
        <w:t>s</w:t>
      </w:r>
      <w:r>
        <w:t>godkendelsen sker efter Folketingets til enhver tid gældende re</w:t>
      </w:r>
      <w:r>
        <w:t>t</w:t>
      </w:r>
      <w:r>
        <w:t xml:space="preserve">ningslinjer, inden de </w:t>
      </w:r>
      <w:r w:rsidR="0063704B">
        <w:t xml:space="preserve">pågældende medarbejdere </w:t>
      </w:r>
      <w:r>
        <w:t xml:space="preserve">får adgang til </w:t>
      </w:r>
      <w:r w:rsidR="0063704B">
        <w:t>se</w:t>
      </w:r>
      <w:r w:rsidR="0063704B">
        <w:t>r</w:t>
      </w:r>
      <w:r w:rsidR="0063704B">
        <w:t>verrum</w:t>
      </w:r>
      <w:r>
        <w:t>.</w:t>
      </w:r>
    </w:p>
    <w:p w:rsidR="005251DE" w:rsidRDefault="0063704B" w:rsidP="0063704B">
      <w:pPr>
        <w:pStyle w:val="OpstilflereniveauerAlt2"/>
      </w:pPr>
      <w:r>
        <w:lastRenderedPageBreak/>
        <w:t>Leverandøren og dens medarbejder(e), som skal have adgang til Folketingets serverrum, s</w:t>
      </w:r>
      <w:r w:rsidR="005251DE">
        <w:t xml:space="preserve">kal underskrive en samtykkeerklæring, der giver Folketingets Administration tilladelse til at indhente oplysninger fra Politiets Efterretningstjeneste og kriminalregistret. </w:t>
      </w:r>
    </w:p>
    <w:p w:rsidR="005251DE" w:rsidRDefault="006E6A3E" w:rsidP="0063704B">
      <w:pPr>
        <w:pStyle w:val="OpstilflereniveauerAlt2"/>
      </w:pPr>
      <w:r>
        <w:t>Det er Leverandørens ansvar, at de relevante</w:t>
      </w:r>
      <w:r w:rsidR="005251DE">
        <w:t xml:space="preserve"> medarbejdere kan</w:t>
      </w:r>
      <w:r w:rsidR="0063704B">
        <w:t xml:space="preserve"> opnå</w:t>
      </w:r>
      <w:r w:rsidR="005251DE">
        <w:t xml:space="preserve"> sikkerhedsgodkende</w:t>
      </w:r>
      <w:r w:rsidR="0063704B">
        <w:t>l</w:t>
      </w:r>
      <w:r w:rsidR="005251DE">
        <w:t>s</w:t>
      </w:r>
      <w:r w:rsidR="0063704B">
        <w:t>e</w:t>
      </w:r>
      <w:r w:rsidR="005251DE">
        <w:t>.</w:t>
      </w:r>
    </w:p>
    <w:p w:rsidR="00B30DF6" w:rsidRDefault="00CA08A9" w:rsidP="00B30DF6">
      <w:pPr>
        <w:pStyle w:val="LROverskrift1Alt1"/>
      </w:pPr>
      <w:bookmarkStart w:id="126" w:name="_Toc413331420"/>
      <w:bookmarkStart w:id="127" w:name="_Toc413331566"/>
      <w:r>
        <w:t>T</w:t>
      </w:r>
      <w:r w:rsidR="00B30DF6">
        <w:t>avshedspligt og husorden</w:t>
      </w:r>
      <w:bookmarkEnd w:id="116"/>
      <w:bookmarkEnd w:id="117"/>
      <w:bookmarkEnd w:id="118"/>
      <w:bookmarkEnd w:id="121"/>
      <w:bookmarkEnd w:id="122"/>
      <w:bookmarkEnd w:id="123"/>
      <w:bookmarkEnd w:id="124"/>
      <w:bookmarkEnd w:id="125"/>
      <w:bookmarkEnd w:id="126"/>
      <w:bookmarkEnd w:id="127"/>
    </w:p>
    <w:p w:rsidR="00B30DF6" w:rsidRDefault="00B30DF6" w:rsidP="00B30DF6">
      <w:pPr>
        <w:pStyle w:val="OpstilflereniveauerAlt2"/>
      </w:pPr>
      <w:r>
        <w:t>Leverandøren og dennes personale skal iagttage ubetinget tavshed med hensyn til oplysninger vedrørende Folketingets arbejdsområder og interne anliggender eller andres forhold, som de får kendskab til i forbindel</w:t>
      </w:r>
      <w:r>
        <w:softHyphen/>
        <w:t>se med opfyldelse af kontrakten. Folketinget kan forlange, at Leverandørens medarbejdere skal underskrive sædvanlige tav</w:t>
      </w:r>
      <w:r>
        <w:t>s</w:t>
      </w:r>
      <w:r>
        <w:t>hedserklæringer. Tavshedspligten gælder også efter kontraktens ophør uanset årsagen hertil.</w:t>
      </w:r>
    </w:p>
    <w:p w:rsidR="00B30DF6" w:rsidRDefault="00B30DF6" w:rsidP="00B30DF6">
      <w:pPr>
        <w:pStyle w:val="OpstilflereniveauerAlt2"/>
      </w:pPr>
      <w:r>
        <w:t xml:space="preserve">Leverandøren og dennes medarbejdere er underlagt den til enhver tid gældende husorden for Folketinget. </w:t>
      </w:r>
    </w:p>
    <w:p w:rsidR="00B30DF6" w:rsidRDefault="00B30DF6" w:rsidP="00B30DF6">
      <w:pPr>
        <w:pStyle w:val="OpstilflereniveauerAlt2"/>
      </w:pPr>
      <w:r>
        <w:t>Leverandøren må bruge Folketinget som reference. Leverandøren må ikke uden Folketingets forudgående skriftlige tilladelse udsende offentlig meddelelse om denne kontrakt eller offentliggøre noget om kontraktens indhold.</w:t>
      </w:r>
    </w:p>
    <w:p w:rsidR="00B30DF6" w:rsidRDefault="00CA08A9" w:rsidP="00B30DF6">
      <w:pPr>
        <w:pStyle w:val="LROverskrift1Alt1"/>
      </w:pPr>
      <w:bookmarkStart w:id="128" w:name="_Toc68342334"/>
      <w:bookmarkStart w:id="129" w:name="_Toc68408105"/>
      <w:bookmarkStart w:id="130" w:name="_Toc201630333"/>
      <w:bookmarkStart w:id="131" w:name="_Toc410999464"/>
      <w:bookmarkStart w:id="132" w:name="_Toc410999603"/>
      <w:bookmarkStart w:id="133" w:name="_Toc410999886"/>
      <w:bookmarkStart w:id="134" w:name="_Toc411000013"/>
      <w:bookmarkStart w:id="135" w:name="_Toc411243024"/>
      <w:bookmarkStart w:id="136" w:name="_Toc413331421"/>
      <w:bookmarkStart w:id="137" w:name="_Toc413331567"/>
      <w:r>
        <w:t>O</w:t>
      </w:r>
      <w:r w:rsidR="00B30DF6">
        <w:t>verdragelse</w:t>
      </w:r>
      <w:bookmarkEnd w:id="128"/>
      <w:bookmarkEnd w:id="129"/>
      <w:bookmarkEnd w:id="130"/>
      <w:bookmarkEnd w:id="131"/>
      <w:bookmarkEnd w:id="132"/>
      <w:bookmarkEnd w:id="133"/>
      <w:bookmarkEnd w:id="134"/>
      <w:bookmarkEnd w:id="135"/>
      <w:bookmarkEnd w:id="136"/>
      <w:bookmarkEnd w:id="137"/>
    </w:p>
    <w:p w:rsidR="00B30DF6" w:rsidRDefault="00B30DF6" w:rsidP="00B30DF6">
      <w:pPr>
        <w:pStyle w:val="OpstilflereniveauerAlt2"/>
      </w:pPr>
      <w:r>
        <w:t xml:space="preserve">Folketinget har ret til at overdrage sine rettigheder og forpligtelser efter denne kontrakt til en offentlig institution eller en institution, der ejes af det offentlige eller i </w:t>
      </w:r>
      <w:proofErr w:type="gramStart"/>
      <w:r>
        <w:t>det</w:t>
      </w:r>
      <w:proofErr w:type="gramEnd"/>
      <w:r>
        <w:t xml:space="preserve"> væsentligste </w:t>
      </w:r>
      <w:proofErr w:type="gramStart"/>
      <w:r>
        <w:t>drives</w:t>
      </w:r>
      <w:proofErr w:type="gramEnd"/>
      <w:r>
        <w:t xml:space="preserve"> for offentlige mi</w:t>
      </w:r>
      <w:r>
        <w:t>d</w:t>
      </w:r>
      <w:r>
        <w:t>ler. Staten indestår for, at vedkommende institution, til hvem ove</w:t>
      </w:r>
      <w:r>
        <w:t>r</w:t>
      </w:r>
      <w:r>
        <w:t>dragelse finder sted, opfylder sine forpligtelser i henhold til kontra</w:t>
      </w:r>
      <w:r>
        <w:t>k</w:t>
      </w:r>
      <w:r>
        <w:t>ten.</w:t>
      </w:r>
    </w:p>
    <w:p w:rsidR="00B30DF6" w:rsidRDefault="00B30DF6" w:rsidP="00B30DF6">
      <w:pPr>
        <w:pStyle w:val="OpstilflereniveauerAlt2"/>
      </w:pPr>
      <w:r>
        <w:t>Leverandøren kan ikke uden Folketingets skriftlige samtykke ove</w:t>
      </w:r>
      <w:r>
        <w:t>r</w:t>
      </w:r>
      <w:r>
        <w:t>drage sine ret</w:t>
      </w:r>
      <w:r>
        <w:softHyphen/>
        <w:t>tig</w:t>
      </w:r>
      <w:r>
        <w:softHyphen/>
        <w:t>heder og forpligtelser efter denne kontrakt til tre</w:t>
      </w:r>
      <w:r>
        <w:t>d</w:t>
      </w:r>
      <w:r>
        <w:t>jemand eller overlade kon</w:t>
      </w:r>
      <w:r>
        <w:softHyphen/>
        <w:t>trak</w:t>
      </w:r>
      <w:r>
        <w:softHyphen/>
        <w:t>tens opfyldelse til underleverandører ud over det i tilbuddet angivne.</w:t>
      </w:r>
    </w:p>
    <w:p w:rsidR="00B30DF6" w:rsidRDefault="00CA08A9" w:rsidP="00B30DF6">
      <w:pPr>
        <w:pStyle w:val="LROverskrift1Alt1"/>
      </w:pPr>
      <w:bookmarkStart w:id="138" w:name="_Toc68342335"/>
      <w:bookmarkStart w:id="139" w:name="_Toc68408106"/>
      <w:bookmarkStart w:id="140" w:name="_Toc201630334"/>
      <w:bookmarkStart w:id="141" w:name="_Toc410999465"/>
      <w:bookmarkStart w:id="142" w:name="_Toc410999604"/>
      <w:bookmarkStart w:id="143" w:name="_Toc410999887"/>
      <w:bookmarkStart w:id="144" w:name="_Toc411000014"/>
      <w:bookmarkStart w:id="145" w:name="_Toc411243025"/>
      <w:bookmarkStart w:id="146" w:name="_Toc413331422"/>
      <w:bookmarkStart w:id="147" w:name="_Toc413331568"/>
      <w:r>
        <w:t>V</w:t>
      </w:r>
      <w:r w:rsidR="00B30DF6">
        <w:t>arighed</w:t>
      </w:r>
      <w:bookmarkEnd w:id="138"/>
      <w:bookmarkEnd w:id="139"/>
      <w:bookmarkEnd w:id="140"/>
      <w:bookmarkEnd w:id="141"/>
      <w:bookmarkEnd w:id="142"/>
      <w:bookmarkEnd w:id="143"/>
      <w:bookmarkEnd w:id="144"/>
      <w:bookmarkEnd w:id="145"/>
      <w:bookmarkEnd w:id="146"/>
      <w:bookmarkEnd w:id="147"/>
    </w:p>
    <w:p w:rsidR="00B30DF6" w:rsidRDefault="00B30DF6" w:rsidP="00B30DF6">
      <w:pPr>
        <w:pStyle w:val="OpstilflereniveauerAlt2"/>
      </w:pPr>
      <w:r>
        <w:t xml:space="preserve">Kontrakten løber fra den </w:t>
      </w:r>
      <w:r w:rsidR="003D262B">
        <w:t>1. juli 2015</w:t>
      </w:r>
      <w:r>
        <w:t xml:space="preserve"> og til den</w:t>
      </w:r>
      <w:r w:rsidR="003D262B">
        <w:t xml:space="preserve"> 30. juni 2019</w:t>
      </w:r>
      <w:r>
        <w:t xml:space="preserve">, hvor den ophører uden varsel. </w:t>
      </w:r>
    </w:p>
    <w:p w:rsidR="00B30DF6" w:rsidRPr="00CA08A9" w:rsidRDefault="00B30DF6" w:rsidP="00B30DF6">
      <w:pPr>
        <w:pStyle w:val="OpstilflereniveauerAlt2"/>
        <w:rPr>
          <w:bCs/>
        </w:rPr>
      </w:pPr>
      <w:r w:rsidRPr="00A60C07">
        <w:lastRenderedPageBreak/>
        <w:t>Kontrakten kan af Folketinget ops</w:t>
      </w:r>
      <w:r>
        <w:t xml:space="preserve">iges med et varsel på 6 måneder. </w:t>
      </w:r>
    </w:p>
    <w:p w:rsidR="00B30DF6" w:rsidRDefault="00B30DF6" w:rsidP="00B30DF6">
      <w:pPr>
        <w:pStyle w:val="OpstilflereniveauerAlt2"/>
      </w:pPr>
      <w:r>
        <w:t>Kontrakten kan af Folketinget forlænges i op til 24 måneder. Folk</w:t>
      </w:r>
      <w:r>
        <w:t>e</w:t>
      </w:r>
      <w:r>
        <w:t>tinget meddeler senest 6 måneder før kontraktens ordinære ophør, om kontrakten ønskes forlænget.</w:t>
      </w:r>
    </w:p>
    <w:p w:rsidR="00B30DF6" w:rsidRDefault="00B30DF6" w:rsidP="00B30DF6">
      <w:pPr>
        <w:pStyle w:val="OpstilflereniveauerAlt2"/>
      </w:pPr>
      <w:r>
        <w:t>De nærmere betingelser</w:t>
      </w:r>
      <w:r w:rsidR="002F71F2">
        <w:t>/foranstaltninger</w:t>
      </w:r>
      <w:r>
        <w:t xml:space="preserve"> i forbindelse med opsigelse eller ophævelse fremgår af bilag 6.</w:t>
      </w:r>
    </w:p>
    <w:p w:rsidR="00B30DF6" w:rsidRDefault="00CA08A9" w:rsidP="00B30DF6">
      <w:pPr>
        <w:pStyle w:val="LROverskrift1Alt1"/>
      </w:pPr>
      <w:bookmarkStart w:id="148" w:name="_Toc68342336"/>
      <w:bookmarkStart w:id="149" w:name="_Toc68408107"/>
      <w:bookmarkStart w:id="150" w:name="_Toc201630335"/>
      <w:bookmarkStart w:id="151" w:name="_Toc410999466"/>
      <w:bookmarkStart w:id="152" w:name="_Toc410999605"/>
      <w:bookmarkStart w:id="153" w:name="_Toc410999888"/>
      <w:bookmarkStart w:id="154" w:name="_Toc411000015"/>
      <w:bookmarkStart w:id="155" w:name="_Toc411243026"/>
      <w:bookmarkStart w:id="156" w:name="_Toc413331423"/>
      <w:bookmarkStart w:id="157" w:name="_Toc413331569"/>
      <w:r>
        <w:t>F</w:t>
      </w:r>
      <w:r w:rsidR="00B30DF6">
        <w:t>ortolkning og ændringer i kontrakten</w:t>
      </w:r>
      <w:bookmarkEnd w:id="148"/>
      <w:bookmarkEnd w:id="149"/>
      <w:bookmarkEnd w:id="150"/>
      <w:bookmarkEnd w:id="151"/>
      <w:bookmarkEnd w:id="152"/>
      <w:bookmarkEnd w:id="153"/>
      <w:bookmarkEnd w:id="154"/>
      <w:bookmarkEnd w:id="155"/>
      <w:bookmarkEnd w:id="156"/>
      <w:bookmarkEnd w:id="157"/>
    </w:p>
    <w:p w:rsidR="00B30DF6" w:rsidRDefault="00B30DF6" w:rsidP="00B30DF6">
      <w:pPr>
        <w:pStyle w:val="OpstilflereniveauerAlt2"/>
      </w:pPr>
      <w:r>
        <w:t>Bestemmelser i udbudsmaterialet, i Leverandørens tilbud, i korr</w:t>
      </w:r>
      <w:r>
        <w:t>e</w:t>
      </w:r>
      <w:r>
        <w:t>spondance forud for indgåelse af kontrakten eller lignende, der ikke er gentaget i denne kontrakt</w:t>
      </w:r>
      <w:r w:rsidR="002F71F2">
        <w:t xml:space="preserve"> og</w:t>
      </w:r>
      <w:r w:rsidR="00D5783C">
        <w:t>/eller</w:t>
      </w:r>
      <w:r w:rsidR="002F71F2">
        <w:t xml:space="preserve"> dens bilag</w:t>
      </w:r>
      <w:r>
        <w:t xml:space="preserve">, </w:t>
      </w:r>
      <w:r w:rsidR="00D5783C">
        <w:t xml:space="preserve">er ikke en del af kontraktgrundlaget og </w:t>
      </w:r>
      <w:r>
        <w:t>kan ikke efterfølgende påberåbes som fo</w:t>
      </w:r>
      <w:r>
        <w:t>r</w:t>
      </w:r>
      <w:r>
        <w:t>tolkningsgrundlag.</w:t>
      </w:r>
    </w:p>
    <w:p w:rsidR="00B30DF6" w:rsidRDefault="00B30DF6" w:rsidP="00B30DF6">
      <w:pPr>
        <w:pStyle w:val="OpstilflereniveauerAlt2"/>
      </w:pPr>
      <w:r>
        <w:t xml:space="preserve">Denne kontrakt kan kun ændres ved </w:t>
      </w:r>
      <w:r w:rsidR="00931936">
        <w:t xml:space="preserve">en </w:t>
      </w:r>
      <w:r>
        <w:t>skriftlig aftale mellem Folk</w:t>
      </w:r>
      <w:r>
        <w:t>e</w:t>
      </w:r>
      <w:r>
        <w:t>tinget og Leverandøren, der vedhæftes kontrakten som et tillæg</w:t>
      </w:r>
      <w:r w:rsidR="002F71F2">
        <w:t>.</w:t>
      </w:r>
    </w:p>
    <w:p w:rsidR="00B30DF6" w:rsidRDefault="00CA08A9" w:rsidP="00B30DF6">
      <w:pPr>
        <w:pStyle w:val="LROverskrift1Alt1"/>
      </w:pPr>
      <w:bookmarkStart w:id="158" w:name="_Toc201630336"/>
      <w:bookmarkStart w:id="159" w:name="_Toc410999467"/>
      <w:bookmarkStart w:id="160" w:name="_Toc410999606"/>
      <w:bookmarkStart w:id="161" w:name="_Toc410999889"/>
      <w:bookmarkStart w:id="162" w:name="_Toc411000016"/>
      <w:bookmarkStart w:id="163" w:name="_Toc411243027"/>
      <w:bookmarkStart w:id="164" w:name="_Toc413331424"/>
      <w:bookmarkStart w:id="165" w:name="_Toc413331570"/>
      <w:r>
        <w:t>O</w:t>
      </w:r>
      <w:r w:rsidR="00B30DF6">
        <w:t>verholdelse af love, bekendtgørelser mv.</w:t>
      </w:r>
      <w:bookmarkEnd w:id="158"/>
      <w:bookmarkEnd w:id="159"/>
      <w:bookmarkEnd w:id="160"/>
      <w:bookmarkEnd w:id="161"/>
      <w:bookmarkEnd w:id="162"/>
      <w:bookmarkEnd w:id="163"/>
      <w:bookmarkEnd w:id="164"/>
      <w:bookmarkEnd w:id="165"/>
    </w:p>
    <w:p w:rsidR="00B30DF6" w:rsidRPr="00E44E59" w:rsidRDefault="00B30DF6" w:rsidP="00B30DF6">
      <w:pPr>
        <w:pStyle w:val="OpstilflereniveauerAlt2"/>
      </w:pPr>
      <w:r>
        <w:t>Leverandøren indestår for, at Leverandøren overholder de til enhver tid gældende lovregler.</w:t>
      </w:r>
    </w:p>
    <w:p w:rsidR="00B30DF6" w:rsidRDefault="00CA08A9" w:rsidP="00B30DF6">
      <w:pPr>
        <w:pStyle w:val="LROverskrift1Alt1"/>
      </w:pPr>
      <w:bookmarkStart w:id="166" w:name="_Toc411243028"/>
      <w:bookmarkStart w:id="167" w:name="_Toc413331425"/>
      <w:bookmarkStart w:id="168" w:name="_Toc413331571"/>
      <w:r>
        <w:t>T</w:t>
      </w:r>
      <w:r w:rsidR="0045514F">
        <w:t>vistigheder</w:t>
      </w:r>
      <w:bookmarkEnd w:id="166"/>
      <w:bookmarkEnd w:id="167"/>
      <w:bookmarkEnd w:id="168"/>
    </w:p>
    <w:p w:rsidR="00B30DF6" w:rsidRDefault="00B30DF6" w:rsidP="00B30DF6">
      <w:pPr>
        <w:pStyle w:val="OpstilflereniveauerAlt2"/>
      </w:pPr>
      <w:r>
        <w:t>Retsforholdet ifølge kontrakten og dennes for</w:t>
      </w:r>
      <w:r>
        <w:softHyphen/>
        <w:t xml:space="preserve">tolkning afgøres efter dansk ret. </w:t>
      </w:r>
    </w:p>
    <w:p w:rsidR="00B30DF6" w:rsidRDefault="00B30DF6" w:rsidP="00B30DF6">
      <w:pPr>
        <w:pStyle w:val="OpstilflereniveauerAlt2"/>
      </w:pPr>
      <w:r>
        <w:t>Såfremt der opstår en uoverensstemmelse mellem parterne i forbi</w:t>
      </w:r>
      <w:r>
        <w:t>n</w:t>
      </w:r>
      <w:r>
        <w:t xml:space="preserve">delse med kontrakten, skal parterne </w:t>
      </w:r>
      <w:r w:rsidR="00B837EC">
        <w:t xml:space="preserve">først </w:t>
      </w:r>
      <w:r>
        <w:t>søge en løsning ved fo</w:t>
      </w:r>
      <w:r>
        <w:t>r</w:t>
      </w:r>
      <w:r>
        <w:t>handling.</w:t>
      </w:r>
    </w:p>
    <w:p w:rsidR="00B30DF6" w:rsidRDefault="00B837EC" w:rsidP="00B30DF6">
      <w:pPr>
        <w:pStyle w:val="OpstilflereniveauerAlt2"/>
      </w:pPr>
      <w:r>
        <w:t>Enhver tvist, som måtte opstå i forbindelse med denne kontrakt</w:t>
      </w:r>
      <w:r w:rsidR="00931936">
        <w:t xml:space="preserve"> og ikke måtte kunne løses ved forhandling</w:t>
      </w:r>
      <w:r>
        <w:t>, herunder tvister vedrørende kontraktens eksistens eller gyldighed, skal afgøres ved vold</w:t>
      </w:r>
      <w:r>
        <w:softHyphen/>
        <w:t xml:space="preserve">gift ved Voldgiftsinstituttet efter de af Voldgiftsinstituttet vedtagne regler herom, som er gældende ved indledningen af voldgiftssagen. </w:t>
      </w:r>
    </w:p>
    <w:p w:rsidR="00B30DF6" w:rsidRDefault="00CA08A9" w:rsidP="00F8671E">
      <w:pPr>
        <w:pStyle w:val="LROverskrift1Alt1"/>
      </w:pPr>
      <w:bookmarkStart w:id="169" w:name="_Toc68342338"/>
      <w:bookmarkStart w:id="170" w:name="_Toc68408109"/>
      <w:bookmarkStart w:id="171" w:name="_Toc201630338"/>
      <w:bookmarkStart w:id="172" w:name="_Toc410999469"/>
      <w:bookmarkStart w:id="173" w:name="_Toc410999608"/>
      <w:bookmarkStart w:id="174" w:name="_Toc410999891"/>
      <w:bookmarkStart w:id="175" w:name="_Toc411000018"/>
      <w:bookmarkStart w:id="176" w:name="_Toc411243029"/>
      <w:bookmarkStart w:id="177" w:name="_Toc413331426"/>
      <w:bookmarkStart w:id="178" w:name="_Toc413331572"/>
      <w:r>
        <w:lastRenderedPageBreak/>
        <w:t>U</w:t>
      </w:r>
      <w:r w:rsidR="00B30DF6">
        <w:t>nderskrift</w:t>
      </w:r>
      <w:bookmarkEnd w:id="169"/>
      <w:bookmarkEnd w:id="170"/>
      <w:bookmarkEnd w:id="171"/>
      <w:bookmarkEnd w:id="172"/>
      <w:bookmarkEnd w:id="173"/>
      <w:bookmarkEnd w:id="174"/>
      <w:bookmarkEnd w:id="175"/>
      <w:bookmarkEnd w:id="176"/>
      <w:bookmarkEnd w:id="177"/>
      <w:bookmarkEnd w:id="178"/>
    </w:p>
    <w:p w:rsidR="00B30DF6" w:rsidRDefault="00B30DF6" w:rsidP="00CA08A9">
      <w:pPr>
        <w:pStyle w:val="OpstilflereniveauerAlt2"/>
      </w:pPr>
      <w:r>
        <w:t>Kontrakten underskrives i to originale eksemplarer, hvoraf parterne hver modtager et eksemplar.</w:t>
      </w:r>
    </w:p>
    <w:p w:rsidR="00B30DF6" w:rsidRDefault="00B30DF6" w:rsidP="00B30DF6">
      <w:pPr>
        <w:keepNext/>
        <w:widowControl w:val="0"/>
        <w:tabs>
          <w:tab w:val="left" w:pos="426"/>
          <w:tab w:val="left" w:pos="575"/>
          <w:tab w:val="left" w:pos="1152"/>
          <w:tab w:val="left" w:pos="3600"/>
          <w:tab w:val="left" w:pos="5760"/>
          <w:tab w:val="left" w:pos="7920"/>
          <w:tab w:val="left" w:pos="8640"/>
          <w:tab w:val="left" w:pos="9360"/>
          <w:tab w:val="left" w:pos="10080"/>
        </w:tabs>
        <w:rPr>
          <w:caps/>
          <w:u w:val="single"/>
        </w:rPr>
      </w:pPr>
    </w:p>
    <w:p w:rsidR="00F8671E" w:rsidRDefault="00F8671E" w:rsidP="00F8671E">
      <w:pPr>
        <w:tabs>
          <w:tab w:val="num" w:pos="1134"/>
        </w:tabs>
        <w:rPr>
          <w:b/>
        </w:rPr>
      </w:pPr>
      <w:r>
        <w:t>København, den [</w:t>
      </w:r>
      <w:r w:rsidR="00631C84">
        <w:rPr>
          <w:b/>
        </w:rPr>
        <w:t>dato</w:t>
      </w:r>
      <w:r w:rsidRPr="00631C84">
        <w:t>]</w:t>
      </w:r>
    </w:p>
    <w:p w:rsidR="00F8671E" w:rsidRDefault="00F8671E" w:rsidP="00F8671E">
      <w:pPr>
        <w:tabs>
          <w:tab w:val="num" w:pos="1134"/>
        </w:tabs>
      </w:pPr>
    </w:p>
    <w:tbl>
      <w:tblPr>
        <w:tblW w:w="0" w:type="auto"/>
        <w:tblCellMar>
          <w:left w:w="70" w:type="dxa"/>
          <w:right w:w="70" w:type="dxa"/>
        </w:tblCellMar>
        <w:tblLook w:val="04A0"/>
      </w:tblPr>
      <w:tblGrid>
        <w:gridCol w:w="3544"/>
        <w:gridCol w:w="567"/>
        <w:gridCol w:w="3544"/>
      </w:tblGrid>
      <w:tr w:rsidR="00F8671E" w:rsidTr="00F8671E">
        <w:trPr>
          <w:trHeight w:val="485"/>
        </w:trPr>
        <w:tc>
          <w:tcPr>
            <w:tcW w:w="3544" w:type="dxa"/>
            <w:tcBorders>
              <w:top w:val="nil"/>
              <w:left w:val="nil"/>
              <w:bottom w:val="single" w:sz="4" w:space="0" w:color="auto"/>
              <w:right w:val="nil"/>
            </w:tcBorders>
            <w:hideMark/>
          </w:tcPr>
          <w:p w:rsidR="00F8671E" w:rsidRDefault="00F8671E" w:rsidP="00F8671E">
            <w:pPr>
              <w:tabs>
                <w:tab w:val="num" w:pos="1134"/>
              </w:tabs>
            </w:pPr>
            <w:r>
              <w:t>For Folketinget:</w:t>
            </w:r>
          </w:p>
        </w:tc>
        <w:tc>
          <w:tcPr>
            <w:tcW w:w="567" w:type="dxa"/>
          </w:tcPr>
          <w:p w:rsidR="00F8671E" w:rsidRDefault="00F8671E">
            <w:pPr>
              <w:tabs>
                <w:tab w:val="num" w:pos="1134"/>
              </w:tabs>
              <w:ind w:left="567"/>
            </w:pPr>
          </w:p>
        </w:tc>
        <w:tc>
          <w:tcPr>
            <w:tcW w:w="3544" w:type="dxa"/>
            <w:tcBorders>
              <w:top w:val="nil"/>
              <w:left w:val="nil"/>
              <w:bottom w:val="single" w:sz="4" w:space="0" w:color="auto"/>
              <w:right w:val="nil"/>
            </w:tcBorders>
          </w:tcPr>
          <w:p w:rsidR="00F8671E" w:rsidRDefault="00F8671E">
            <w:pPr>
              <w:tabs>
                <w:tab w:val="num" w:pos="1134"/>
              </w:tabs>
            </w:pPr>
            <w:r>
              <w:t xml:space="preserve">For </w:t>
            </w:r>
            <w:r w:rsidRPr="00F8671E">
              <w:rPr>
                <w:b/>
              </w:rPr>
              <w:t>[</w:t>
            </w:r>
            <w:r w:rsidR="00631C84">
              <w:rPr>
                <w:b/>
              </w:rPr>
              <w:t>Leverandøren</w:t>
            </w:r>
            <w:r w:rsidRPr="00F8671E">
              <w:rPr>
                <w:b/>
              </w:rPr>
              <w:t>]</w:t>
            </w:r>
            <w:r>
              <w:t>:</w:t>
            </w:r>
          </w:p>
          <w:p w:rsidR="00F8671E" w:rsidRDefault="00F8671E">
            <w:pPr>
              <w:tabs>
                <w:tab w:val="num" w:pos="1134"/>
              </w:tabs>
              <w:ind w:left="567"/>
            </w:pPr>
          </w:p>
          <w:p w:rsidR="00F8671E" w:rsidRDefault="00F8671E">
            <w:pPr>
              <w:tabs>
                <w:tab w:val="num" w:pos="1134"/>
              </w:tabs>
              <w:ind w:left="567"/>
            </w:pPr>
          </w:p>
          <w:p w:rsidR="00F8671E" w:rsidRDefault="00F8671E">
            <w:pPr>
              <w:tabs>
                <w:tab w:val="num" w:pos="1134"/>
              </w:tabs>
              <w:ind w:left="567"/>
            </w:pPr>
          </w:p>
        </w:tc>
      </w:tr>
      <w:bookmarkStart w:id="179" w:name="Tekst25"/>
      <w:tr w:rsidR="00F8671E" w:rsidTr="00F8671E">
        <w:tc>
          <w:tcPr>
            <w:tcW w:w="3544" w:type="dxa"/>
            <w:tcBorders>
              <w:top w:val="single" w:sz="4" w:space="0" w:color="auto"/>
              <w:left w:val="nil"/>
              <w:bottom w:val="nil"/>
              <w:right w:val="nil"/>
            </w:tcBorders>
            <w:hideMark/>
          </w:tcPr>
          <w:p w:rsidR="00F8671E" w:rsidRDefault="00D00EDD">
            <w:pPr>
              <w:tabs>
                <w:tab w:val="num" w:pos="1134"/>
              </w:tabs>
            </w:pPr>
            <w:r>
              <w:fldChar w:fldCharType="begin">
                <w:ffData>
                  <w:name w:val="Tekst25"/>
                  <w:enabled/>
                  <w:calcOnExit w:val="0"/>
                  <w:textInput/>
                </w:ffData>
              </w:fldChar>
            </w:r>
            <w:r w:rsidR="00F8671E">
              <w:instrText xml:space="preserve"> FORMTEXT </w:instrText>
            </w:r>
            <w:r>
              <w:fldChar w:fldCharType="separate"/>
            </w:r>
            <w:r w:rsidR="00CA08A9">
              <w:rPr>
                <w:noProof/>
              </w:rPr>
              <w:t> </w:t>
            </w:r>
            <w:r w:rsidR="00CA08A9">
              <w:rPr>
                <w:noProof/>
              </w:rPr>
              <w:t> </w:t>
            </w:r>
            <w:r w:rsidR="00CA08A9">
              <w:rPr>
                <w:noProof/>
              </w:rPr>
              <w:t> </w:t>
            </w:r>
            <w:r w:rsidR="00CA08A9">
              <w:rPr>
                <w:noProof/>
              </w:rPr>
              <w:t> </w:t>
            </w:r>
            <w:r w:rsidR="00CA08A9">
              <w:rPr>
                <w:noProof/>
              </w:rPr>
              <w:t> </w:t>
            </w:r>
            <w:r>
              <w:fldChar w:fldCharType="end"/>
            </w:r>
            <w:bookmarkEnd w:id="179"/>
          </w:p>
        </w:tc>
        <w:tc>
          <w:tcPr>
            <w:tcW w:w="567" w:type="dxa"/>
          </w:tcPr>
          <w:p w:rsidR="00F8671E" w:rsidRDefault="00F8671E">
            <w:pPr>
              <w:tabs>
                <w:tab w:val="num" w:pos="1134"/>
              </w:tabs>
              <w:ind w:left="567"/>
            </w:pPr>
          </w:p>
        </w:tc>
        <w:bookmarkStart w:id="180" w:name="Tekst26"/>
        <w:tc>
          <w:tcPr>
            <w:tcW w:w="3544" w:type="dxa"/>
            <w:tcBorders>
              <w:top w:val="single" w:sz="4" w:space="0" w:color="auto"/>
              <w:left w:val="nil"/>
              <w:bottom w:val="nil"/>
              <w:right w:val="nil"/>
            </w:tcBorders>
            <w:hideMark/>
          </w:tcPr>
          <w:p w:rsidR="00F8671E" w:rsidRDefault="00D00EDD">
            <w:pPr>
              <w:tabs>
                <w:tab w:val="num" w:pos="1134"/>
              </w:tabs>
            </w:pPr>
            <w:r>
              <w:fldChar w:fldCharType="begin">
                <w:ffData>
                  <w:name w:val="Tekst26"/>
                  <w:enabled/>
                  <w:calcOnExit w:val="0"/>
                  <w:textInput/>
                </w:ffData>
              </w:fldChar>
            </w:r>
            <w:r w:rsidR="00F8671E">
              <w:instrText xml:space="preserve"> FORMTEXT </w:instrText>
            </w:r>
            <w:r>
              <w:fldChar w:fldCharType="separate"/>
            </w:r>
            <w:r w:rsidR="00CA08A9">
              <w:rPr>
                <w:noProof/>
              </w:rPr>
              <w:t> </w:t>
            </w:r>
            <w:r w:rsidR="00CA08A9">
              <w:rPr>
                <w:noProof/>
              </w:rPr>
              <w:t> </w:t>
            </w:r>
            <w:r w:rsidR="00CA08A9">
              <w:rPr>
                <w:noProof/>
              </w:rPr>
              <w:t> </w:t>
            </w:r>
            <w:r w:rsidR="00CA08A9">
              <w:rPr>
                <w:noProof/>
              </w:rPr>
              <w:t> </w:t>
            </w:r>
            <w:r w:rsidR="00CA08A9">
              <w:rPr>
                <w:noProof/>
              </w:rPr>
              <w:t> </w:t>
            </w:r>
            <w:r>
              <w:fldChar w:fldCharType="end"/>
            </w:r>
            <w:bookmarkEnd w:id="180"/>
          </w:p>
        </w:tc>
      </w:tr>
    </w:tbl>
    <w:p w:rsidR="00F8671E" w:rsidRDefault="00F8671E" w:rsidP="00B30DF6">
      <w:pPr>
        <w:keepNext/>
        <w:widowControl w:val="0"/>
        <w:tabs>
          <w:tab w:val="left" w:pos="426"/>
          <w:tab w:val="left" w:pos="575"/>
          <w:tab w:val="left" w:pos="1152"/>
          <w:tab w:val="left" w:pos="3600"/>
          <w:tab w:val="left" w:pos="5760"/>
          <w:tab w:val="left" w:pos="7920"/>
          <w:tab w:val="left" w:pos="8640"/>
          <w:tab w:val="left" w:pos="9360"/>
          <w:tab w:val="left" w:pos="10080"/>
        </w:tabs>
        <w:rPr>
          <w:caps/>
          <w:u w:val="single"/>
        </w:rPr>
      </w:pPr>
    </w:p>
    <w:p w:rsidR="00F8671E" w:rsidRDefault="00F8671E" w:rsidP="00B30DF6">
      <w:pPr>
        <w:keepNext/>
        <w:widowControl w:val="0"/>
        <w:tabs>
          <w:tab w:val="left" w:pos="426"/>
          <w:tab w:val="left" w:pos="575"/>
          <w:tab w:val="left" w:pos="1152"/>
          <w:tab w:val="left" w:pos="3600"/>
          <w:tab w:val="left" w:pos="5760"/>
          <w:tab w:val="left" w:pos="7920"/>
          <w:tab w:val="left" w:pos="8640"/>
          <w:tab w:val="left" w:pos="9360"/>
          <w:tab w:val="left" w:pos="10080"/>
        </w:tabs>
        <w:rPr>
          <w:caps/>
          <w:u w:val="single"/>
        </w:rPr>
      </w:pPr>
    </w:p>
    <w:p w:rsidR="00F8671E" w:rsidRDefault="00F8671E" w:rsidP="00B30DF6">
      <w:pPr>
        <w:keepNext/>
        <w:widowControl w:val="0"/>
        <w:tabs>
          <w:tab w:val="left" w:pos="426"/>
          <w:tab w:val="left" w:pos="575"/>
          <w:tab w:val="left" w:pos="1152"/>
          <w:tab w:val="left" w:pos="3600"/>
          <w:tab w:val="left" w:pos="5760"/>
          <w:tab w:val="left" w:pos="7920"/>
          <w:tab w:val="left" w:pos="8640"/>
          <w:tab w:val="left" w:pos="9360"/>
          <w:tab w:val="left" w:pos="10080"/>
        </w:tabs>
        <w:rPr>
          <w:caps/>
          <w:u w:val="single"/>
        </w:rPr>
      </w:pPr>
    </w:p>
    <w:p w:rsidR="00B30DF6" w:rsidRDefault="00B30DF6" w:rsidP="00B30DF6">
      <w:pPr>
        <w:tabs>
          <w:tab w:val="left" w:pos="575"/>
        </w:tabs>
      </w:pPr>
    </w:p>
    <w:p w:rsidR="00F8671E" w:rsidRDefault="00F8671E" w:rsidP="00F8671E">
      <w:pPr>
        <w:pStyle w:val="IndrykCtrlshifta"/>
        <w:ind w:left="0"/>
      </w:pPr>
      <w:r>
        <w:t>Bilag 1:</w:t>
      </w:r>
      <w:r>
        <w:tab/>
        <w:t>Krav til opgaveløsning</w:t>
      </w:r>
      <w:r w:rsidR="002F71F2">
        <w:t xml:space="preserve"> med Leverandøres løsningsbeskrivelse</w:t>
      </w:r>
    </w:p>
    <w:p w:rsidR="00F8671E" w:rsidRDefault="00F8671E" w:rsidP="00F8671E">
      <w:pPr>
        <w:pStyle w:val="IndrykCtrlshifta"/>
        <w:ind w:hanging="851"/>
      </w:pPr>
      <w:r>
        <w:t>Bilag 2:</w:t>
      </w:r>
      <w:r>
        <w:tab/>
        <w:t xml:space="preserve">Samarbejdsmodellen </w:t>
      </w:r>
    </w:p>
    <w:p w:rsidR="00F8671E" w:rsidRDefault="00F8671E" w:rsidP="00F8671E">
      <w:pPr>
        <w:pStyle w:val="IndrykCtrlshifta"/>
        <w:ind w:hanging="851"/>
      </w:pPr>
      <w:r>
        <w:t>Bilag 3:</w:t>
      </w:r>
      <w:r>
        <w:tab/>
        <w:t>Priser</w:t>
      </w:r>
    </w:p>
    <w:p w:rsidR="00F8671E" w:rsidRDefault="00F8671E" w:rsidP="00F8671E">
      <w:pPr>
        <w:pStyle w:val="IndrykCtrlshifta"/>
        <w:ind w:hanging="851"/>
      </w:pPr>
      <w:r>
        <w:t>Bilag 4:</w:t>
      </w:r>
      <w:r>
        <w:tab/>
        <w:t>Tidsplan</w:t>
      </w:r>
    </w:p>
    <w:p w:rsidR="00F8671E" w:rsidRDefault="00F8671E" w:rsidP="00F8671E">
      <w:pPr>
        <w:pStyle w:val="IndrykCtrlshifta"/>
        <w:ind w:hanging="851"/>
      </w:pPr>
      <w:r>
        <w:t>Bilag 5:</w:t>
      </w:r>
      <w:r>
        <w:tab/>
      </w:r>
      <w:r w:rsidR="002F71F2">
        <w:t xml:space="preserve">Skematisk oversigt over </w:t>
      </w:r>
      <w:r>
        <w:t>Leverandørens løsningsbeskrivelse</w:t>
      </w:r>
    </w:p>
    <w:p w:rsidR="00F8671E" w:rsidRDefault="00F8671E" w:rsidP="00F8671E">
      <w:pPr>
        <w:pStyle w:val="IndrykCtrlshifta"/>
        <w:ind w:hanging="851"/>
      </w:pPr>
      <w:r>
        <w:t>Bilag 6:</w:t>
      </w:r>
      <w:r>
        <w:tab/>
        <w:t>Opsigelse og ophævelse</w:t>
      </w:r>
    </w:p>
    <w:p w:rsidR="00F8671E" w:rsidRDefault="00F8671E" w:rsidP="00F8671E">
      <w:pPr>
        <w:pStyle w:val="IndrykCtrlshifta"/>
        <w:ind w:hanging="851"/>
      </w:pPr>
      <w:r>
        <w:t>Bilag 7:</w:t>
      </w:r>
      <w:r>
        <w:tab/>
      </w:r>
      <w:r w:rsidR="002F71F2">
        <w:t>Afprøvning</w:t>
      </w:r>
    </w:p>
    <w:p w:rsidR="00B30DF6" w:rsidRPr="00B30DF6" w:rsidRDefault="00B30DF6" w:rsidP="00F8671E">
      <w:pPr>
        <w:pStyle w:val="IndrykCtrlshifta"/>
        <w:ind w:left="0"/>
      </w:pPr>
    </w:p>
    <w:p w:rsidR="00B30DF6" w:rsidRPr="00B30DF6" w:rsidRDefault="00B30DF6" w:rsidP="00B30DF6">
      <w:pPr>
        <w:pStyle w:val="IndrykCtrlshifta"/>
      </w:pPr>
    </w:p>
    <w:sectPr w:rsidR="00B30DF6" w:rsidRPr="00B30DF6" w:rsidSect="00E74E0C">
      <w:headerReference w:type="default" r:id="rId8"/>
      <w:footerReference w:type="default" r:id="rId9"/>
      <w:headerReference w:type="first" r:id="rId10"/>
      <w:footerReference w:type="first" r:id="rId11"/>
      <w:type w:val="continuous"/>
      <w:pgSz w:w="11906" w:h="16838" w:code="9"/>
      <w:pgMar w:top="-2863" w:right="2013" w:bottom="2013" w:left="1956"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28" w:rsidRDefault="00452728" w:rsidP="002B62D8">
      <w:r>
        <w:separator/>
      </w:r>
    </w:p>
  </w:endnote>
  <w:endnote w:type="continuationSeparator" w:id="0">
    <w:p w:rsidR="00452728" w:rsidRDefault="00452728" w:rsidP="002B6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81" w:name="ÅÅJnr"/>
  <w:p w:rsidR="00D5783C" w:rsidRDefault="00D00EDD">
    <w:pPr>
      <w:pStyle w:val="Sidefod"/>
    </w:pPr>
    <w:r>
      <w:rPr>
        <w:noProof/>
      </w:rPr>
      <w:fldChar w:fldCharType="begin"/>
    </w:r>
    <w:r w:rsidR="00D5783C">
      <w:rPr>
        <w:noProof/>
      </w:rPr>
      <w:instrText xml:space="preserve"> DOCPROPERTY  Jnr </w:instrText>
    </w:r>
    <w:r>
      <w:rPr>
        <w:noProof/>
      </w:rPr>
      <w:fldChar w:fldCharType="separate"/>
    </w:r>
    <w:r w:rsidR="00EA772E">
      <w:rPr>
        <w:noProof/>
      </w:rPr>
      <w:t>07680</w:t>
    </w:r>
    <w:r>
      <w:rPr>
        <w:noProof/>
      </w:rPr>
      <w:fldChar w:fldCharType="end"/>
    </w:r>
    <w:bookmarkEnd w:id="181"/>
    <w:r w:rsidR="00D5783C">
      <w:tab/>
    </w:r>
    <w:r w:rsidRPr="003066C6">
      <w:rPr>
        <w:rStyle w:val="Sidetal"/>
      </w:rPr>
      <w:fldChar w:fldCharType="begin"/>
    </w:r>
    <w:r w:rsidR="00D5783C" w:rsidRPr="003066C6">
      <w:rPr>
        <w:rStyle w:val="Sidetal"/>
      </w:rPr>
      <w:instrText xml:space="preserve"> PAGE   \* MERGEFORMAT </w:instrText>
    </w:r>
    <w:r w:rsidRPr="003066C6">
      <w:rPr>
        <w:rStyle w:val="Sidetal"/>
      </w:rPr>
      <w:fldChar w:fldCharType="separate"/>
    </w:r>
    <w:r w:rsidR="00695FF1">
      <w:rPr>
        <w:rStyle w:val="Sidetal"/>
        <w:noProof/>
      </w:rPr>
      <w:t>6</w:t>
    </w:r>
    <w:r w:rsidRPr="003066C6">
      <w:rPr>
        <w:rStyle w:val="Sidetal"/>
      </w:rPr>
      <w:fldChar w:fldCharType="end"/>
    </w:r>
    <w:r w:rsidR="00D5783C" w:rsidRPr="003066C6">
      <w:rPr>
        <w:rStyle w:val="Sidetal"/>
      </w:rPr>
      <w:t>/</w:t>
    </w:r>
    <w:r w:rsidRPr="003066C6">
      <w:rPr>
        <w:rStyle w:val="Sidetal"/>
      </w:rPr>
      <w:fldChar w:fldCharType="begin"/>
    </w:r>
    <w:r w:rsidR="00D5783C" w:rsidRPr="003066C6">
      <w:rPr>
        <w:rStyle w:val="Sidetal"/>
      </w:rPr>
      <w:instrText xml:space="preserve"> numpages </w:instrText>
    </w:r>
    <w:r w:rsidRPr="003066C6">
      <w:rPr>
        <w:rStyle w:val="Sidetal"/>
      </w:rPr>
      <w:fldChar w:fldCharType="separate"/>
    </w:r>
    <w:r w:rsidR="00695FF1">
      <w:rPr>
        <w:rStyle w:val="Sidetal"/>
        <w:noProof/>
      </w:rPr>
      <w:t>16</w:t>
    </w:r>
    <w:r w:rsidRPr="003066C6">
      <w:rPr>
        <w:rStyle w:val="Sidet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3C" w:rsidRPr="002E6E26" w:rsidRDefault="00D5783C">
    <w:pPr>
      <w:pStyle w:val="Sidefod"/>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28" w:rsidRDefault="00452728" w:rsidP="002B62D8">
      <w:r>
        <w:separator/>
      </w:r>
    </w:p>
  </w:footnote>
  <w:footnote w:type="continuationSeparator" w:id="0">
    <w:p w:rsidR="00452728" w:rsidRDefault="00452728" w:rsidP="002B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3C" w:rsidRDefault="00D5783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3C" w:rsidRDefault="00D5783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AD6D31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B38ED3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B085C76"/>
    <w:multiLevelType w:val="hybridMultilevel"/>
    <w:tmpl w:val="B7D27096"/>
    <w:lvl w:ilvl="0" w:tplc="C86A42F2">
      <w:start w:val="1"/>
      <w:numFmt w:val="lowerLetter"/>
      <w:pStyle w:val="OpstilBogstavAlt8"/>
      <w:lvlText w:val="%1)"/>
      <w:lvlJc w:val="left"/>
      <w:pPr>
        <w:tabs>
          <w:tab w:val="num" w:pos="851"/>
        </w:tabs>
        <w:ind w:left="851" w:hanging="851"/>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E410011"/>
    <w:multiLevelType w:val="singleLevel"/>
    <w:tmpl w:val="020622CA"/>
    <w:lvl w:ilvl="0">
      <w:start w:val="1"/>
      <w:numFmt w:val="decimal"/>
      <w:pStyle w:val="OpstilTalAlt5"/>
      <w:lvlText w:val="%1"/>
      <w:lvlJc w:val="left"/>
      <w:pPr>
        <w:tabs>
          <w:tab w:val="num" w:pos="851"/>
        </w:tabs>
        <w:ind w:left="851" w:hanging="851"/>
      </w:pPr>
      <w:rPr>
        <w:rFonts w:ascii="Lucida Sans Unicode" w:hAnsi="Lucida Sans Unicode" w:hint="default"/>
        <w:b w:val="0"/>
        <w:i w:val="0"/>
        <w:spacing w:val="4"/>
        <w:sz w:val="18"/>
      </w:rPr>
    </w:lvl>
  </w:abstractNum>
  <w:abstractNum w:abstractNumId="4">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3467C3F"/>
    <w:multiLevelType w:val="hybridMultilevel"/>
    <w:tmpl w:val="E4A06DBE"/>
    <w:lvl w:ilvl="0" w:tplc="875EBF34">
      <w:numFmt w:val="bullet"/>
      <w:lvlText w:val="-"/>
      <w:lvlJc w:val="left"/>
      <w:pPr>
        <w:ind w:left="360" w:hanging="360"/>
      </w:pPr>
      <w:rPr>
        <w:rFonts w:ascii="Tahoma" w:eastAsia="Times New Roman" w:hAnsi="Tahoma"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6CC21AE"/>
    <w:multiLevelType w:val="multilevel"/>
    <w:tmpl w:val="AAA40326"/>
    <w:lvl w:ilvl="0">
      <w:start w:val="1"/>
      <w:numFmt w:val="decimal"/>
      <w:pStyle w:val="LROverskrift1Alt1"/>
      <w:isLgl/>
      <w:lvlText w:val="%1"/>
      <w:lvlJc w:val="left"/>
      <w:pPr>
        <w:tabs>
          <w:tab w:val="num" w:pos="851"/>
        </w:tabs>
        <w:ind w:left="851" w:hanging="851"/>
      </w:pPr>
      <w:rPr>
        <w:rFonts w:hint="default"/>
      </w:rPr>
    </w:lvl>
    <w:lvl w:ilvl="1">
      <w:start w:val="1"/>
      <w:numFmt w:val="decimal"/>
      <w:pStyle w:val="OpstilflereniveauerAlt2"/>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1152CCB"/>
    <w:multiLevelType w:val="hybridMultilevel"/>
    <w:tmpl w:val="333E3088"/>
    <w:lvl w:ilvl="0" w:tplc="AFFCEC36">
      <w:start w:val="1"/>
      <w:numFmt w:val="none"/>
      <w:pStyle w:val="OpstilAtAlt7"/>
      <w:lvlText w:val="at"/>
      <w:lvlJc w:val="left"/>
      <w:pPr>
        <w:tabs>
          <w:tab w:val="num" w:pos="851"/>
        </w:tabs>
        <w:ind w:left="851" w:hanging="851"/>
      </w:pPr>
      <w:rPr>
        <w:rFonts w:ascii="Lucida Sans Unicode" w:hAnsi="Lucida Sans Unicode" w:hint="default"/>
        <w:b w:val="0"/>
        <w:i w:val="0"/>
        <w:spacing w:val="4"/>
        <w:sz w:val="18"/>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70A206D"/>
    <w:multiLevelType w:val="hybridMultilevel"/>
    <w:tmpl w:val="4B98641E"/>
    <w:lvl w:ilvl="0" w:tplc="11C2B3A4">
      <w:start w:val="1"/>
      <w:numFmt w:val="lowerLetter"/>
      <w:lvlText w:val="(%1)"/>
      <w:lvlJc w:val="left"/>
      <w:pPr>
        <w:ind w:left="1571" w:hanging="360"/>
      </w:pPr>
      <w:rPr>
        <w:rFonts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0">
    <w:nsid w:val="47CC2A1D"/>
    <w:multiLevelType w:val="singleLevel"/>
    <w:tmpl w:val="01AC8CCA"/>
    <w:lvl w:ilvl="0">
      <w:start w:val="1"/>
      <w:numFmt w:val="decimal"/>
      <w:lvlRestart w:val="0"/>
      <w:lvlText w:val="%1."/>
      <w:lvlJc w:val="left"/>
      <w:pPr>
        <w:tabs>
          <w:tab w:val="num" w:pos="360"/>
        </w:tabs>
        <w:ind w:left="360" w:hanging="360"/>
      </w:pPr>
    </w:lvl>
  </w:abstractNum>
  <w:abstractNum w:abstractNumId="11">
    <w:nsid w:val="64985E81"/>
    <w:multiLevelType w:val="hybridMultilevel"/>
    <w:tmpl w:val="DDD4AE44"/>
    <w:lvl w:ilvl="0" w:tplc="626668FA">
      <w:start w:val="1"/>
      <w:numFmt w:val="bullet"/>
      <w:pStyle w:val="OpstilPktAlt6"/>
      <w:lvlText w:val=""/>
      <w:lvlJc w:val="left"/>
      <w:pPr>
        <w:tabs>
          <w:tab w:val="num" w:pos="851"/>
        </w:tabs>
        <w:ind w:left="851" w:hanging="851"/>
      </w:pPr>
      <w:rPr>
        <w:rFonts w:ascii="Symbol" w:hAnsi="Symbol"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67D1C01"/>
    <w:multiLevelType w:val="hybridMultilevel"/>
    <w:tmpl w:val="61E63D40"/>
    <w:lvl w:ilvl="0" w:tplc="F1C6C5F8">
      <w:numFmt w:val="bullet"/>
      <w:lvlText w:val="-"/>
      <w:lvlJc w:val="left"/>
      <w:pPr>
        <w:ind w:left="1211" w:hanging="360"/>
      </w:pPr>
      <w:rPr>
        <w:rFonts w:ascii="Lucida Sans Unicode" w:eastAsia="Times New Roman" w:hAnsi="Lucida Sans Unicode" w:cs="Lucida Sans Unicode"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3">
    <w:nsid w:val="73914395"/>
    <w:multiLevelType w:val="hybridMultilevel"/>
    <w:tmpl w:val="C930BABC"/>
    <w:lvl w:ilvl="0" w:tplc="F752AB40">
      <w:start w:val="1"/>
      <w:numFmt w:val="decimal"/>
      <w:lvlText w:val="bilag %1"/>
      <w:lvlJc w:val="left"/>
      <w:pPr>
        <w:tabs>
          <w:tab w:val="num" w:pos="1134"/>
        </w:tabs>
        <w:ind w:left="1134" w:hanging="1134"/>
      </w:pPr>
      <w:rPr>
        <w:rFonts w:cs="Times New Roman" w:hint="default"/>
        <w:b w:val="0"/>
        <w:i w:val="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5">
    <w:nsid w:val="7CAF194A"/>
    <w:multiLevelType w:val="multilevel"/>
    <w:tmpl w:val="91D4F3E4"/>
    <w:lvl w:ilvl="0">
      <w:start w:val="1"/>
      <w:numFmt w:val="bullet"/>
      <w:lvlRestart w:val="0"/>
      <w:lvlText w:val=""/>
      <w:lvlJc w:val="left"/>
      <w:pPr>
        <w:tabs>
          <w:tab w:val="num" w:pos="1775"/>
        </w:tabs>
        <w:ind w:left="1775" w:hanging="360"/>
      </w:pPr>
      <w:rPr>
        <w:rFonts w:ascii="Symbol" w:hAnsi="Symbol" w:hint="default"/>
      </w:rPr>
    </w:lvl>
    <w:lvl w:ilvl="1">
      <w:start w:val="1"/>
      <w:numFmt w:val="lowerLetter"/>
      <w:lvlText w:val="%2)"/>
      <w:lvlJc w:val="left"/>
      <w:pPr>
        <w:ind w:left="2135" w:hanging="360"/>
      </w:pPr>
    </w:lvl>
    <w:lvl w:ilvl="2">
      <w:start w:val="1"/>
      <w:numFmt w:val="lowerRoman"/>
      <w:lvlText w:val="%3)"/>
      <w:lvlJc w:val="left"/>
      <w:pPr>
        <w:ind w:left="2495" w:hanging="360"/>
      </w:pPr>
    </w:lvl>
    <w:lvl w:ilvl="3">
      <w:start w:val="1"/>
      <w:numFmt w:val="decimal"/>
      <w:lvlText w:val="(%4)"/>
      <w:lvlJc w:val="left"/>
      <w:pPr>
        <w:ind w:left="2855" w:hanging="360"/>
      </w:pPr>
    </w:lvl>
    <w:lvl w:ilvl="4">
      <w:start w:val="1"/>
      <w:numFmt w:val="lowerLetter"/>
      <w:lvlText w:val="(%5)"/>
      <w:lvlJc w:val="left"/>
      <w:pPr>
        <w:ind w:left="3215" w:hanging="360"/>
      </w:pPr>
    </w:lvl>
    <w:lvl w:ilvl="5">
      <w:start w:val="1"/>
      <w:numFmt w:val="lowerRoman"/>
      <w:lvlText w:val="(%6)"/>
      <w:lvlJc w:val="left"/>
      <w:pPr>
        <w:ind w:left="3575" w:hanging="360"/>
      </w:pPr>
    </w:lvl>
    <w:lvl w:ilvl="6">
      <w:start w:val="1"/>
      <w:numFmt w:val="decimal"/>
      <w:lvlText w:val="%7."/>
      <w:lvlJc w:val="left"/>
      <w:pPr>
        <w:ind w:left="3935" w:hanging="360"/>
      </w:pPr>
    </w:lvl>
    <w:lvl w:ilvl="7">
      <w:start w:val="1"/>
      <w:numFmt w:val="lowerLetter"/>
      <w:lvlText w:val="%8."/>
      <w:lvlJc w:val="left"/>
      <w:pPr>
        <w:ind w:left="4295" w:hanging="360"/>
      </w:pPr>
    </w:lvl>
    <w:lvl w:ilvl="8">
      <w:start w:val="1"/>
      <w:numFmt w:val="lowerRoman"/>
      <w:lvlText w:val="%9."/>
      <w:lvlJc w:val="left"/>
      <w:pPr>
        <w:ind w:left="4655" w:hanging="360"/>
      </w:pPr>
    </w:lvl>
  </w:abstractNum>
  <w:abstractNum w:abstractNumId="16">
    <w:nsid w:val="7DA318C6"/>
    <w:multiLevelType w:val="hybridMultilevel"/>
    <w:tmpl w:val="43907DE4"/>
    <w:lvl w:ilvl="0" w:tplc="466E7B5C">
      <w:start w:val="1"/>
      <w:numFmt w:val="bullet"/>
      <w:pStyle w:val="OpstilPindAlt9"/>
      <w:lvlText w:val="–"/>
      <w:lvlJc w:val="left"/>
      <w:pPr>
        <w:tabs>
          <w:tab w:val="num" w:pos="851"/>
        </w:tabs>
        <w:ind w:left="851" w:hanging="851"/>
      </w:pPr>
      <w:rPr>
        <w:rFonts w:ascii="Times New Roman" w:hAnsi="Times New Roman" w:cs="Times New Roman"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6"/>
  </w:num>
  <w:num w:numId="5">
    <w:abstractNumId w:val="16"/>
  </w:num>
  <w:num w:numId="6">
    <w:abstractNumId w:val="11"/>
  </w:num>
  <w:num w:numId="7">
    <w:abstractNumId w:val="3"/>
  </w:num>
  <w:num w:numId="8">
    <w:abstractNumId w:val="8"/>
  </w:num>
  <w:num w:numId="9">
    <w:abstractNumId w:val="4"/>
  </w:num>
  <w:num w:numId="10">
    <w:abstractNumId w:val="5"/>
  </w:num>
  <w:num w:numId="11">
    <w:abstractNumId w:val="12"/>
  </w:num>
  <w:num w:numId="12">
    <w:abstractNumId w:val="13"/>
  </w:num>
  <w:num w:numId="13">
    <w:abstractNumId w:val="1"/>
  </w:num>
  <w:num w:numId="14">
    <w:abstractNumId w:val="15"/>
  </w:num>
  <w:num w:numId="15">
    <w:abstractNumId w:val="0"/>
  </w:num>
  <w:num w:numId="16">
    <w:abstractNumId w:val="10"/>
  </w:num>
  <w:num w:numId="17">
    <w:abstractNumId w:val="6"/>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851"/>
  <w:autoHyphenation/>
  <w:hyphenationZone w:val="142"/>
  <w:characterSpacingControl w:val="doNotCompress"/>
  <w:hdrShapeDefaults>
    <o:shapedefaults v:ext="edit" spidmax="8194"/>
  </w:hdrShapeDefaults>
  <w:footnotePr>
    <w:footnote w:id="-1"/>
    <w:footnote w:id="0"/>
  </w:footnotePr>
  <w:endnotePr>
    <w:endnote w:id="-1"/>
    <w:endnote w:id="0"/>
  </w:endnotePr>
  <w:compat/>
  <w:rsids>
    <w:rsidRoot w:val="0004277E"/>
    <w:rsid w:val="000026B4"/>
    <w:rsid w:val="0000414C"/>
    <w:rsid w:val="00011C61"/>
    <w:rsid w:val="00013EBC"/>
    <w:rsid w:val="00013ED9"/>
    <w:rsid w:val="00015B9A"/>
    <w:rsid w:val="0004277E"/>
    <w:rsid w:val="0005781E"/>
    <w:rsid w:val="00074FE0"/>
    <w:rsid w:val="000778A7"/>
    <w:rsid w:val="00086A9A"/>
    <w:rsid w:val="0008737F"/>
    <w:rsid w:val="00093B20"/>
    <w:rsid w:val="000A362C"/>
    <w:rsid w:val="000A78B9"/>
    <w:rsid w:val="000B3B2E"/>
    <w:rsid w:val="000B7983"/>
    <w:rsid w:val="000D2C8B"/>
    <w:rsid w:val="000D6557"/>
    <w:rsid w:val="000E65A7"/>
    <w:rsid w:val="000E73B6"/>
    <w:rsid w:val="00107B76"/>
    <w:rsid w:val="00124AA9"/>
    <w:rsid w:val="00147555"/>
    <w:rsid w:val="00175149"/>
    <w:rsid w:val="001A327D"/>
    <w:rsid w:val="001A540B"/>
    <w:rsid w:val="001B49F1"/>
    <w:rsid w:val="001F3F7F"/>
    <w:rsid w:val="00204CD8"/>
    <w:rsid w:val="00213B56"/>
    <w:rsid w:val="002366F8"/>
    <w:rsid w:val="00255CB0"/>
    <w:rsid w:val="002613C3"/>
    <w:rsid w:val="0026769D"/>
    <w:rsid w:val="002935ED"/>
    <w:rsid w:val="002B1968"/>
    <w:rsid w:val="002B62D8"/>
    <w:rsid w:val="002C0790"/>
    <w:rsid w:val="002C2ED0"/>
    <w:rsid w:val="002C69C3"/>
    <w:rsid w:val="002E6E26"/>
    <w:rsid w:val="002F4E9A"/>
    <w:rsid w:val="002F71F2"/>
    <w:rsid w:val="00304372"/>
    <w:rsid w:val="003066C6"/>
    <w:rsid w:val="003248A1"/>
    <w:rsid w:val="003275FC"/>
    <w:rsid w:val="00360A20"/>
    <w:rsid w:val="00364D08"/>
    <w:rsid w:val="00373888"/>
    <w:rsid w:val="00384776"/>
    <w:rsid w:val="00395863"/>
    <w:rsid w:val="003A4743"/>
    <w:rsid w:val="003A6EAA"/>
    <w:rsid w:val="003B2F94"/>
    <w:rsid w:val="003B4FF5"/>
    <w:rsid w:val="003C4967"/>
    <w:rsid w:val="003C7F03"/>
    <w:rsid w:val="003D262B"/>
    <w:rsid w:val="003E1892"/>
    <w:rsid w:val="003F170E"/>
    <w:rsid w:val="003F2B3C"/>
    <w:rsid w:val="004039BC"/>
    <w:rsid w:val="00415643"/>
    <w:rsid w:val="00452728"/>
    <w:rsid w:val="0045514F"/>
    <w:rsid w:val="00480302"/>
    <w:rsid w:val="00482393"/>
    <w:rsid w:val="004A0744"/>
    <w:rsid w:val="004B0E98"/>
    <w:rsid w:val="004B441B"/>
    <w:rsid w:val="004E5D63"/>
    <w:rsid w:val="004F02D9"/>
    <w:rsid w:val="004F66DD"/>
    <w:rsid w:val="005006DB"/>
    <w:rsid w:val="0052335D"/>
    <w:rsid w:val="005251DE"/>
    <w:rsid w:val="00527E50"/>
    <w:rsid w:val="00537D92"/>
    <w:rsid w:val="005517E9"/>
    <w:rsid w:val="005539AB"/>
    <w:rsid w:val="00590E0E"/>
    <w:rsid w:val="005A1703"/>
    <w:rsid w:val="005A7320"/>
    <w:rsid w:val="005C5B23"/>
    <w:rsid w:val="005F0CC4"/>
    <w:rsid w:val="00612FC9"/>
    <w:rsid w:val="00631C84"/>
    <w:rsid w:val="0063704B"/>
    <w:rsid w:val="00651983"/>
    <w:rsid w:val="00654D33"/>
    <w:rsid w:val="00655501"/>
    <w:rsid w:val="00685DEF"/>
    <w:rsid w:val="00686D53"/>
    <w:rsid w:val="00686DCA"/>
    <w:rsid w:val="0069059E"/>
    <w:rsid w:val="0069501C"/>
    <w:rsid w:val="00695FF1"/>
    <w:rsid w:val="006A7FCD"/>
    <w:rsid w:val="006B3734"/>
    <w:rsid w:val="006C1582"/>
    <w:rsid w:val="006C7807"/>
    <w:rsid w:val="006D71BE"/>
    <w:rsid w:val="006E6A3E"/>
    <w:rsid w:val="00702D38"/>
    <w:rsid w:val="007171E7"/>
    <w:rsid w:val="00722D54"/>
    <w:rsid w:val="00743716"/>
    <w:rsid w:val="00775353"/>
    <w:rsid w:val="007846C9"/>
    <w:rsid w:val="007B0D6C"/>
    <w:rsid w:val="007C6BC3"/>
    <w:rsid w:val="007D7E9A"/>
    <w:rsid w:val="007E4205"/>
    <w:rsid w:val="007F6D6D"/>
    <w:rsid w:val="008061D4"/>
    <w:rsid w:val="00827DB8"/>
    <w:rsid w:val="00863C08"/>
    <w:rsid w:val="00866433"/>
    <w:rsid w:val="00870D2E"/>
    <w:rsid w:val="00876AF5"/>
    <w:rsid w:val="00890FE4"/>
    <w:rsid w:val="00897630"/>
    <w:rsid w:val="008C719D"/>
    <w:rsid w:val="008D2D4D"/>
    <w:rsid w:val="008D34D2"/>
    <w:rsid w:val="008E163B"/>
    <w:rsid w:val="008F179A"/>
    <w:rsid w:val="00925500"/>
    <w:rsid w:val="00931936"/>
    <w:rsid w:val="0093706D"/>
    <w:rsid w:val="009462BA"/>
    <w:rsid w:val="00991ECE"/>
    <w:rsid w:val="009A03F0"/>
    <w:rsid w:val="009A12E8"/>
    <w:rsid w:val="009A681B"/>
    <w:rsid w:val="009B52C0"/>
    <w:rsid w:val="009C5ABC"/>
    <w:rsid w:val="009D418A"/>
    <w:rsid w:val="00A0030A"/>
    <w:rsid w:val="00A034EC"/>
    <w:rsid w:val="00A121F0"/>
    <w:rsid w:val="00A14B0E"/>
    <w:rsid w:val="00A33555"/>
    <w:rsid w:val="00A4547C"/>
    <w:rsid w:val="00A65CBF"/>
    <w:rsid w:val="00A72520"/>
    <w:rsid w:val="00A74154"/>
    <w:rsid w:val="00A759A5"/>
    <w:rsid w:val="00A91F2F"/>
    <w:rsid w:val="00AA2D18"/>
    <w:rsid w:val="00AA7792"/>
    <w:rsid w:val="00AB227C"/>
    <w:rsid w:val="00AC2BA8"/>
    <w:rsid w:val="00AD6001"/>
    <w:rsid w:val="00AD764E"/>
    <w:rsid w:val="00AE04CA"/>
    <w:rsid w:val="00AF19CC"/>
    <w:rsid w:val="00AF36C5"/>
    <w:rsid w:val="00B025E7"/>
    <w:rsid w:val="00B07AC2"/>
    <w:rsid w:val="00B17032"/>
    <w:rsid w:val="00B20BF2"/>
    <w:rsid w:val="00B30DF6"/>
    <w:rsid w:val="00B534D3"/>
    <w:rsid w:val="00B548FC"/>
    <w:rsid w:val="00B7560C"/>
    <w:rsid w:val="00B837EC"/>
    <w:rsid w:val="00BE2217"/>
    <w:rsid w:val="00BF4661"/>
    <w:rsid w:val="00C07451"/>
    <w:rsid w:val="00C14EA4"/>
    <w:rsid w:val="00C15D04"/>
    <w:rsid w:val="00C43D15"/>
    <w:rsid w:val="00CA08A9"/>
    <w:rsid w:val="00CA161F"/>
    <w:rsid w:val="00CB06FF"/>
    <w:rsid w:val="00CD065E"/>
    <w:rsid w:val="00CF2926"/>
    <w:rsid w:val="00CF4A68"/>
    <w:rsid w:val="00D00EDD"/>
    <w:rsid w:val="00D26A08"/>
    <w:rsid w:val="00D42D01"/>
    <w:rsid w:val="00D45B5C"/>
    <w:rsid w:val="00D53B8F"/>
    <w:rsid w:val="00D56DD8"/>
    <w:rsid w:val="00D5783C"/>
    <w:rsid w:val="00D729E1"/>
    <w:rsid w:val="00D744A9"/>
    <w:rsid w:val="00D74F40"/>
    <w:rsid w:val="00D870C3"/>
    <w:rsid w:val="00DB3238"/>
    <w:rsid w:val="00DB4BD9"/>
    <w:rsid w:val="00DB5E7D"/>
    <w:rsid w:val="00DC10C9"/>
    <w:rsid w:val="00DD5546"/>
    <w:rsid w:val="00DE18D0"/>
    <w:rsid w:val="00DF3B4F"/>
    <w:rsid w:val="00DF65A5"/>
    <w:rsid w:val="00E31977"/>
    <w:rsid w:val="00E3772B"/>
    <w:rsid w:val="00E56A30"/>
    <w:rsid w:val="00E56FE0"/>
    <w:rsid w:val="00E74E0C"/>
    <w:rsid w:val="00E95737"/>
    <w:rsid w:val="00E97C96"/>
    <w:rsid w:val="00EA06D9"/>
    <w:rsid w:val="00EA51A8"/>
    <w:rsid w:val="00EA75EC"/>
    <w:rsid w:val="00EA772E"/>
    <w:rsid w:val="00ED175F"/>
    <w:rsid w:val="00ED3546"/>
    <w:rsid w:val="00F03B6A"/>
    <w:rsid w:val="00F03F1E"/>
    <w:rsid w:val="00F0550D"/>
    <w:rsid w:val="00F0721B"/>
    <w:rsid w:val="00F1054A"/>
    <w:rsid w:val="00F15A09"/>
    <w:rsid w:val="00F205C1"/>
    <w:rsid w:val="00F33627"/>
    <w:rsid w:val="00F40079"/>
    <w:rsid w:val="00F40EAF"/>
    <w:rsid w:val="00F51F5E"/>
    <w:rsid w:val="00F6531A"/>
    <w:rsid w:val="00F703EE"/>
    <w:rsid w:val="00F7218C"/>
    <w:rsid w:val="00F725D3"/>
    <w:rsid w:val="00F725E8"/>
    <w:rsid w:val="00F8671E"/>
    <w:rsid w:val="00FB5DAB"/>
    <w:rsid w:val="00FB7219"/>
    <w:rsid w:val="00FE1838"/>
    <w:rsid w:val="00FF70A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footer" w:uiPriority="13"/>
    <w:lsdException w:name="caption" w:uiPriority="35" w:qFormat="1"/>
    <w:lsdException w:name="Title" w:uiPriority="0" w:unhideWhenUsed="0" w:qFormat="1"/>
    <w:lsdException w:name="Signature" w:uiPriority="12"/>
    <w:lsdException w:name="Default Paragraph Font" w:uiPriority="1"/>
    <w:lsdException w:name="Subtitle" w:uiPriority="29" w:unhideWhenUsed="0" w:qFormat="1"/>
    <w:lsdException w:name="Strong" w:uiPriority="29" w:unhideWhenUsed="0" w:qFormat="1"/>
    <w:lsdException w:name="Emphasis" w:uiPriority="29" w:unhideWhenUsed="0" w:qFormat="1"/>
    <w:lsdException w:name="Table Grid" w:semiHidden="0" w:uiPriority="59" w:unhideWhenUsed="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unhideWhenUsed="0" w:qFormat="1"/>
    <w:lsdException w:name="Intense Emphasis" w:uiPriority="29" w:unhideWhenUsed="0" w:qFormat="1"/>
    <w:lsdException w:name="Subtle Reference" w:uiPriority="29" w:unhideWhenUsed="0" w:qFormat="1"/>
    <w:lsdException w:name="Intense Reference" w:uiPriority="29"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95FF1"/>
    <w:pPr>
      <w:spacing w:after="120"/>
      <w:jc w:val="both"/>
    </w:pPr>
    <w:rPr>
      <w:rFonts w:ascii="Arial" w:hAnsi="Arial"/>
      <w:spacing w:val="6"/>
      <w:sz w:val="22"/>
    </w:rPr>
  </w:style>
  <w:style w:type="paragraph" w:styleId="Overskrift1">
    <w:name w:val="heading 1"/>
    <w:basedOn w:val="Normal"/>
    <w:next w:val="Normal"/>
    <w:link w:val="Overskrift1Tegn"/>
    <w:qFormat/>
    <w:rsid w:val="00695FF1"/>
    <w:pPr>
      <w:keepNext/>
      <w:numPr>
        <w:numId w:val="19"/>
      </w:numPr>
      <w:spacing w:before="240" w:after="240"/>
      <w:outlineLvl w:val="0"/>
    </w:pPr>
    <w:rPr>
      <w:b/>
      <w:bCs/>
      <w:kern w:val="32"/>
      <w:szCs w:val="32"/>
    </w:rPr>
  </w:style>
  <w:style w:type="paragraph" w:styleId="Overskrift2">
    <w:name w:val="heading 2"/>
    <w:basedOn w:val="Normal"/>
    <w:next w:val="Normal"/>
    <w:link w:val="Overskrift2Tegn"/>
    <w:qFormat/>
    <w:rsid w:val="00695FF1"/>
    <w:pPr>
      <w:keepNext/>
      <w:numPr>
        <w:ilvl w:val="1"/>
        <w:numId w:val="19"/>
      </w:numPr>
      <w:spacing w:before="120" w:after="240"/>
      <w:outlineLvl w:val="1"/>
    </w:pPr>
    <w:rPr>
      <w:bCs/>
      <w:iCs/>
      <w:szCs w:val="28"/>
    </w:rPr>
  </w:style>
  <w:style w:type="paragraph" w:styleId="Overskrift3">
    <w:name w:val="heading 3"/>
    <w:basedOn w:val="Normal"/>
    <w:next w:val="Normal"/>
    <w:link w:val="Overskrift3Tegn"/>
    <w:qFormat/>
    <w:rsid w:val="00695FF1"/>
    <w:pPr>
      <w:keepNext/>
      <w:numPr>
        <w:ilvl w:val="2"/>
        <w:numId w:val="19"/>
      </w:numPr>
      <w:spacing w:before="120" w:after="240"/>
      <w:outlineLvl w:val="2"/>
    </w:pPr>
    <w:rPr>
      <w:bCs/>
      <w:szCs w:val="26"/>
    </w:rPr>
  </w:style>
  <w:style w:type="paragraph" w:styleId="Overskrift4">
    <w:name w:val="heading 4"/>
    <w:basedOn w:val="Normal"/>
    <w:next w:val="Normal"/>
    <w:link w:val="Overskrift4Tegn"/>
    <w:qFormat/>
    <w:rsid w:val="00695FF1"/>
    <w:pPr>
      <w:keepNext/>
      <w:numPr>
        <w:ilvl w:val="3"/>
        <w:numId w:val="19"/>
      </w:numPr>
      <w:spacing w:before="120" w:after="240"/>
      <w:outlineLvl w:val="3"/>
    </w:pPr>
    <w:rPr>
      <w:bCs/>
      <w:szCs w:val="28"/>
    </w:rPr>
  </w:style>
  <w:style w:type="paragraph" w:styleId="Overskrift5">
    <w:name w:val="heading 5"/>
    <w:basedOn w:val="Normal"/>
    <w:next w:val="Normal"/>
    <w:link w:val="Overskrift5Tegn"/>
    <w:qFormat/>
    <w:rsid w:val="00695FF1"/>
    <w:pPr>
      <w:numPr>
        <w:ilvl w:val="4"/>
        <w:numId w:val="19"/>
      </w:numPr>
      <w:outlineLvl w:val="4"/>
    </w:pPr>
    <w:rPr>
      <w:bCs/>
      <w:iCs/>
      <w:szCs w:val="26"/>
    </w:rPr>
  </w:style>
  <w:style w:type="paragraph" w:styleId="Overskrift6">
    <w:name w:val="heading 6"/>
    <w:basedOn w:val="Normal"/>
    <w:next w:val="Normal"/>
    <w:link w:val="Overskrift6Tegn"/>
    <w:qFormat/>
    <w:rsid w:val="00695FF1"/>
    <w:pPr>
      <w:numPr>
        <w:ilvl w:val="5"/>
        <w:numId w:val="19"/>
      </w:num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695FF1"/>
    <w:pPr>
      <w:numPr>
        <w:ilvl w:val="6"/>
        <w:numId w:val="19"/>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695FF1"/>
    <w:pPr>
      <w:numPr>
        <w:ilvl w:val="7"/>
        <w:numId w:val="19"/>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695FF1"/>
    <w:pPr>
      <w:numPr>
        <w:ilvl w:val="8"/>
        <w:numId w:val="19"/>
      </w:numPr>
      <w:spacing w:before="240" w:after="60"/>
      <w:outlineLvl w:val="8"/>
    </w:pPr>
    <w:rPr>
      <w:szCs w:val="22"/>
    </w:rPr>
  </w:style>
  <w:style w:type="character" w:default="1" w:styleId="Standardskrifttypeiafsnit">
    <w:name w:val="Default Paragraph Font"/>
    <w:uiPriority w:val="1"/>
    <w:semiHidden/>
    <w:unhideWhenUsed/>
    <w:rsid w:val="00695FF1"/>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695FF1"/>
  </w:style>
  <w:style w:type="paragraph" w:customStyle="1" w:styleId="IndrykCtrlshifta">
    <w:name w:val="Indryk (Ctrl+shift+a)"/>
    <w:basedOn w:val="Normal"/>
    <w:uiPriority w:val="1"/>
    <w:qFormat/>
    <w:rsid w:val="009A12E8"/>
    <w:pPr>
      <w:ind w:left="851"/>
    </w:pPr>
  </w:style>
  <w:style w:type="character" w:customStyle="1" w:styleId="Overskrift1Tegn">
    <w:name w:val="Overskrift 1 Tegn"/>
    <w:basedOn w:val="Standardskrifttypeiafsnit"/>
    <w:link w:val="Overskrift1"/>
    <w:rsid w:val="00695FF1"/>
    <w:rPr>
      <w:rFonts w:ascii="Arial" w:hAnsi="Arial"/>
      <w:b/>
      <w:bCs/>
      <w:spacing w:val="6"/>
      <w:kern w:val="32"/>
      <w:sz w:val="22"/>
      <w:szCs w:val="32"/>
    </w:rPr>
  </w:style>
  <w:style w:type="paragraph" w:customStyle="1" w:styleId="LROverskrift1Alt1">
    <w:name w:val="LR Overskrift 1 (Alt+1)"/>
    <w:basedOn w:val="Overskrift1"/>
    <w:next w:val="IndrykCtrlshifta"/>
    <w:uiPriority w:val="2"/>
    <w:qFormat/>
    <w:rsid w:val="009A12E8"/>
    <w:pPr>
      <w:numPr>
        <w:numId w:val="1"/>
      </w:numPr>
    </w:pPr>
  </w:style>
  <w:style w:type="table" w:styleId="Tabel-Gitter">
    <w:name w:val="Table Grid"/>
    <w:basedOn w:val="Tabel-Normal"/>
    <w:uiPriority w:val="59"/>
    <w:rsid w:val="009A12E8"/>
    <w:pPr>
      <w:spacing w:line="276" w:lineRule="auto"/>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tilAtAlt7">
    <w:name w:val="Opstil At (Alt+7)"/>
    <w:basedOn w:val="Normal"/>
    <w:uiPriority w:val="7"/>
    <w:qFormat/>
    <w:rsid w:val="009A12E8"/>
    <w:pPr>
      <w:numPr>
        <w:numId w:val="2"/>
      </w:numPr>
      <w:spacing w:after="240"/>
    </w:pPr>
  </w:style>
  <w:style w:type="paragraph" w:customStyle="1" w:styleId="OpstilBogstavAlt8">
    <w:name w:val="Opstil Bogstav (Alt+8)"/>
    <w:basedOn w:val="Normal"/>
    <w:uiPriority w:val="8"/>
    <w:qFormat/>
    <w:rsid w:val="009A12E8"/>
    <w:pPr>
      <w:numPr>
        <w:numId w:val="3"/>
      </w:numPr>
      <w:spacing w:after="240"/>
    </w:pPr>
  </w:style>
  <w:style w:type="paragraph" w:customStyle="1" w:styleId="OpstilflereniveauerAlt2">
    <w:name w:val="Opstil flere niveauer (Alt+2)"/>
    <w:basedOn w:val="Normal"/>
    <w:next w:val="IndrykCtrlshifta"/>
    <w:uiPriority w:val="3"/>
    <w:qFormat/>
    <w:rsid w:val="009A12E8"/>
    <w:pPr>
      <w:numPr>
        <w:ilvl w:val="1"/>
        <w:numId w:val="1"/>
      </w:numPr>
      <w:spacing w:after="360"/>
    </w:pPr>
  </w:style>
  <w:style w:type="paragraph" w:customStyle="1" w:styleId="OpstilPindAlt9">
    <w:name w:val="Opstil Pind (Alt+9)"/>
    <w:basedOn w:val="Normal"/>
    <w:uiPriority w:val="10"/>
    <w:qFormat/>
    <w:rsid w:val="009A12E8"/>
    <w:pPr>
      <w:numPr>
        <w:numId w:val="5"/>
      </w:numPr>
      <w:spacing w:after="240"/>
    </w:pPr>
  </w:style>
  <w:style w:type="paragraph" w:customStyle="1" w:styleId="OpstilPktAlt6">
    <w:name w:val="Opstil Pkt (Alt+6)"/>
    <w:basedOn w:val="Normal"/>
    <w:uiPriority w:val="9"/>
    <w:qFormat/>
    <w:rsid w:val="009A12E8"/>
    <w:pPr>
      <w:numPr>
        <w:numId w:val="6"/>
      </w:numPr>
    </w:pPr>
  </w:style>
  <w:style w:type="paragraph" w:customStyle="1" w:styleId="OpstilTalAlt5">
    <w:name w:val="Opstil Tal (Alt+5)"/>
    <w:basedOn w:val="Normal"/>
    <w:uiPriority w:val="4"/>
    <w:qFormat/>
    <w:rsid w:val="009A12E8"/>
    <w:pPr>
      <w:numPr>
        <w:numId w:val="7"/>
      </w:numPr>
      <w:spacing w:after="240"/>
    </w:pPr>
  </w:style>
  <w:style w:type="character" w:customStyle="1" w:styleId="Overskrift2Tegn">
    <w:name w:val="Overskrift 2 Tegn"/>
    <w:basedOn w:val="Standardskrifttypeiafsnit"/>
    <w:link w:val="Overskrift2"/>
    <w:rsid w:val="00695FF1"/>
    <w:rPr>
      <w:rFonts w:ascii="Arial" w:hAnsi="Arial"/>
      <w:bCs/>
      <w:iCs/>
      <w:spacing w:val="6"/>
      <w:sz w:val="22"/>
      <w:szCs w:val="28"/>
    </w:rPr>
  </w:style>
  <w:style w:type="character" w:customStyle="1" w:styleId="Overskrift3Tegn">
    <w:name w:val="Overskrift 3 Tegn"/>
    <w:basedOn w:val="Standardskrifttypeiafsnit"/>
    <w:link w:val="Overskrift3"/>
    <w:rsid w:val="00695FF1"/>
    <w:rPr>
      <w:rFonts w:ascii="Arial" w:hAnsi="Arial"/>
      <w:bCs/>
      <w:spacing w:val="6"/>
      <w:sz w:val="22"/>
      <w:szCs w:val="26"/>
    </w:rPr>
  </w:style>
  <w:style w:type="paragraph" w:customStyle="1" w:styleId="Modtager">
    <w:name w:val="Modtager"/>
    <w:basedOn w:val="Normal"/>
    <w:uiPriority w:val="98"/>
    <w:semiHidden/>
    <w:rsid w:val="009A12E8"/>
  </w:style>
  <w:style w:type="paragraph" w:styleId="Sidehoved">
    <w:name w:val="header"/>
    <w:basedOn w:val="Normal"/>
    <w:link w:val="SidehovedTegn"/>
    <w:uiPriority w:val="13"/>
    <w:unhideWhenUsed/>
    <w:rsid w:val="009A12E8"/>
    <w:pPr>
      <w:tabs>
        <w:tab w:val="left" w:pos="7995"/>
        <w:tab w:val="right" w:pos="10206"/>
      </w:tabs>
    </w:pPr>
    <w:rPr>
      <w:sz w:val="13"/>
    </w:rPr>
  </w:style>
  <w:style w:type="character" w:customStyle="1" w:styleId="SidehovedTegn">
    <w:name w:val="Sidehoved Tegn"/>
    <w:link w:val="Sidehoved"/>
    <w:uiPriority w:val="13"/>
    <w:rsid w:val="009A12E8"/>
    <w:rPr>
      <w:sz w:val="13"/>
      <w:szCs w:val="18"/>
    </w:rPr>
  </w:style>
  <w:style w:type="paragraph" w:styleId="Sidefod">
    <w:name w:val="footer"/>
    <w:basedOn w:val="Normal"/>
    <w:link w:val="SidefodTegn"/>
    <w:uiPriority w:val="13"/>
    <w:unhideWhenUsed/>
    <w:rsid w:val="009A12E8"/>
    <w:pPr>
      <w:tabs>
        <w:tab w:val="center" w:pos="3997"/>
      </w:tabs>
    </w:pPr>
    <w:rPr>
      <w:sz w:val="14"/>
    </w:rPr>
  </w:style>
  <w:style w:type="character" w:customStyle="1" w:styleId="SidefodTegn">
    <w:name w:val="Sidefod Tegn"/>
    <w:link w:val="Sidefod"/>
    <w:uiPriority w:val="13"/>
    <w:rsid w:val="009A12E8"/>
    <w:rPr>
      <w:sz w:val="14"/>
      <w:szCs w:val="18"/>
    </w:rPr>
  </w:style>
  <w:style w:type="paragraph" w:styleId="Markeringsbobletekst">
    <w:name w:val="Balloon Text"/>
    <w:basedOn w:val="Normal"/>
    <w:link w:val="MarkeringsbobletekstTegn"/>
    <w:uiPriority w:val="99"/>
    <w:semiHidden/>
    <w:unhideWhenUsed/>
    <w:rsid w:val="009A12E8"/>
    <w:rPr>
      <w:rFonts w:ascii="Tahoma" w:hAnsi="Tahoma" w:cs="Tahoma"/>
      <w:sz w:val="16"/>
      <w:szCs w:val="16"/>
    </w:rPr>
  </w:style>
  <w:style w:type="character" w:customStyle="1" w:styleId="MarkeringsbobletekstTegn">
    <w:name w:val="Markeringsbobletekst Tegn"/>
    <w:link w:val="Markeringsbobletekst"/>
    <w:uiPriority w:val="99"/>
    <w:semiHidden/>
    <w:rsid w:val="009A12E8"/>
    <w:rPr>
      <w:rFonts w:ascii="Tahoma" w:hAnsi="Tahoma" w:cs="Tahoma"/>
      <w:sz w:val="16"/>
      <w:szCs w:val="16"/>
    </w:rPr>
  </w:style>
  <w:style w:type="character" w:styleId="Hyperlink">
    <w:name w:val="Hyperlink"/>
    <w:uiPriority w:val="99"/>
    <w:unhideWhenUsed/>
    <w:rsid w:val="009A12E8"/>
    <w:rPr>
      <w:color w:val="0000FF"/>
      <w:u w:val="single"/>
    </w:rPr>
  </w:style>
  <w:style w:type="paragraph" w:customStyle="1" w:styleId="Logo01">
    <w:name w:val="Logo01"/>
    <w:semiHidden/>
    <w:qFormat/>
    <w:rsid w:val="009A12E8"/>
    <w:pPr>
      <w:tabs>
        <w:tab w:val="left" w:pos="8080"/>
        <w:tab w:val="right" w:pos="10348"/>
      </w:tabs>
      <w:spacing w:line="336" w:lineRule="auto"/>
    </w:pPr>
    <w:rPr>
      <w:noProof/>
      <w:color w:val="404040"/>
      <w:sz w:val="13"/>
      <w:szCs w:val="18"/>
    </w:rPr>
  </w:style>
  <w:style w:type="character" w:styleId="Sidetal">
    <w:name w:val="page number"/>
    <w:uiPriority w:val="99"/>
    <w:rsid w:val="009A12E8"/>
    <w:rPr>
      <w:rFonts w:ascii="Lucida Sans Unicode" w:hAnsi="Lucida Sans Unicode"/>
      <w:sz w:val="18"/>
    </w:rPr>
  </w:style>
  <w:style w:type="paragraph" w:styleId="Fodnotetekst">
    <w:name w:val="footnote text"/>
    <w:basedOn w:val="Normal"/>
    <w:link w:val="FodnotetekstTegn"/>
    <w:uiPriority w:val="99"/>
    <w:semiHidden/>
    <w:unhideWhenUsed/>
    <w:rsid w:val="009A12E8"/>
    <w:pPr>
      <w:jc w:val="left"/>
    </w:pPr>
    <w:rPr>
      <w:sz w:val="14"/>
    </w:rPr>
  </w:style>
  <w:style w:type="character" w:customStyle="1" w:styleId="FodnotetekstTegn">
    <w:name w:val="Fodnotetekst Tegn"/>
    <w:link w:val="Fodnotetekst"/>
    <w:uiPriority w:val="99"/>
    <w:semiHidden/>
    <w:rsid w:val="009A12E8"/>
    <w:rPr>
      <w:sz w:val="14"/>
    </w:rPr>
  </w:style>
  <w:style w:type="paragraph" w:styleId="Underskrift">
    <w:name w:val="Signature"/>
    <w:basedOn w:val="Normal"/>
    <w:link w:val="UnderskriftTegn"/>
    <w:uiPriority w:val="12"/>
    <w:rsid w:val="009A12E8"/>
    <w:pPr>
      <w:keepNext/>
      <w:keepLines/>
      <w:jc w:val="left"/>
    </w:pPr>
  </w:style>
  <w:style w:type="character" w:customStyle="1" w:styleId="UnderskriftTegn">
    <w:name w:val="Underskrift Tegn"/>
    <w:link w:val="Underskrift"/>
    <w:uiPriority w:val="12"/>
    <w:rsid w:val="009A12E8"/>
    <w:rPr>
      <w:sz w:val="18"/>
      <w:szCs w:val="18"/>
    </w:rPr>
  </w:style>
  <w:style w:type="paragraph" w:customStyle="1" w:styleId="LogoLR01">
    <w:name w:val="LogoLR01"/>
    <w:qFormat/>
    <w:rsid w:val="009A12E8"/>
    <w:pPr>
      <w:tabs>
        <w:tab w:val="center" w:pos="3969"/>
      </w:tabs>
      <w:spacing w:line="280" w:lineRule="atLeast"/>
      <w:ind w:left="-567" w:right="-568"/>
    </w:pPr>
    <w:rPr>
      <w:rFonts w:ascii="Times New Roman" w:hAnsi="Times New Roman"/>
      <w:noProof/>
      <w:color w:val="727272"/>
      <w:w w:val="102"/>
      <w:sz w:val="17"/>
      <w:szCs w:val="17"/>
    </w:rPr>
  </w:style>
  <w:style w:type="paragraph" w:customStyle="1" w:styleId="VedrAlt6">
    <w:name w:val="Vedr (Alt+6)"/>
    <w:basedOn w:val="Normal"/>
    <w:next w:val="Normal"/>
    <w:qFormat/>
    <w:rsid w:val="002E6E26"/>
    <w:rPr>
      <w:caps/>
      <w:spacing w:val="40"/>
    </w:rPr>
  </w:style>
  <w:style w:type="paragraph" w:styleId="Indholdsfortegnelse1">
    <w:name w:val="toc 1"/>
    <w:basedOn w:val="Normal"/>
    <w:next w:val="Normal"/>
    <w:autoRedefine/>
    <w:uiPriority w:val="39"/>
    <w:unhideWhenUsed/>
    <w:rsid w:val="00590E0E"/>
    <w:pPr>
      <w:spacing w:after="100"/>
    </w:pPr>
  </w:style>
  <w:style w:type="paragraph" w:styleId="Listeafsnit">
    <w:name w:val="List Paragraph"/>
    <w:basedOn w:val="Normal"/>
    <w:uiPriority w:val="34"/>
    <w:qFormat/>
    <w:rsid w:val="007171E7"/>
    <w:pPr>
      <w:tabs>
        <w:tab w:val="left" w:pos="567"/>
        <w:tab w:val="left" w:pos="1134"/>
        <w:tab w:val="left" w:pos="1701"/>
      </w:tabs>
      <w:overflowPunct w:val="0"/>
      <w:autoSpaceDE w:val="0"/>
      <w:autoSpaceDN w:val="0"/>
      <w:adjustRightInd w:val="0"/>
      <w:spacing w:line="360" w:lineRule="auto"/>
      <w:ind w:left="720"/>
      <w:contextualSpacing/>
      <w:textAlignment w:val="baseline"/>
    </w:pPr>
    <w:rPr>
      <w:rFonts w:ascii="Tahoma" w:hAnsi="Tahoma"/>
      <w:bCs/>
      <w:spacing w:val="10"/>
      <w:sz w:val="20"/>
    </w:rPr>
  </w:style>
  <w:style w:type="character" w:styleId="Bogenstitel">
    <w:name w:val="Book Title"/>
    <w:uiPriority w:val="33"/>
    <w:qFormat/>
    <w:rsid w:val="00F8671E"/>
    <w:rPr>
      <w:b/>
      <w:bCs/>
      <w:smallCaps/>
      <w:spacing w:val="5"/>
    </w:rPr>
  </w:style>
  <w:style w:type="paragraph" w:styleId="Overskrift">
    <w:name w:val="TOC Heading"/>
    <w:basedOn w:val="Overskrift1"/>
    <w:next w:val="Normal"/>
    <w:uiPriority w:val="39"/>
    <w:unhideWhenUsed/>
    <w:qFormat/>
    <w:rsid w:val="00C43D15"/>
    <w:pPr>
      <w:keepLines/>
      <w:spacing w:before="480" w:after="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styleId="Kommentarhenvisning">
    <w:name w:val="annotation reference"/>
    <w:basedOn w:val="Standardskrifttypeiafsnit"/>
    <w:uiPriority w:val="99"/>
    <w:semiHidden/>
    <w:unhideWhenUsed/>
    <w:rsid w:val="00124AA9"/>
    <w:rPr>
      <w:sz w:val="16"/>
      <w:szCs w:val="16"/>
    </w:rPr>
  </w:style>
  <w:style w:type="paragraph" w:styleId="Kommentartekst">
    <w:name w:val="annotation text"/>
    <w:basedOn w:val="Normal"/>
    <w:link w:val="KommentartekstTegn"/>
    <w:uiPriority w:val="99"/>
    <w:unhideWhenUsed/>
    <w:rsid w:val="00124AA9"/>
    <w:rPr>
      <w:sz w:val="20"/>
    </w:rPr>
  </w:style>
  <w:style w:type="character" w:customStyle="1" w:styleId="KommentartekstTegn">
    <w:name w:val="Kommentartekst Tegn"/>
    <w:basedOn w:val="Standardskrifttypeiafsnit"/>
    <w:link w:val="Kommentartekst"/>
    <w:uiPriority w:val="99"/>
    <w:rsid w:val="00124AA9"/>
  </w:style>
  <w:style w:type="paragraph" w:styleId="Kommentaremne">
    <w:name w:val="annotation subject"/>
    <w:basedOn w:val="Kommentartekst"/>
    <w:next w:val="Kommentartekst"/>
    <w:link w:val="KommentaremneTegn"/>
    <w:uiPriority w:val="99"/>
    <w:semiHidden/>
    <w:unhideWhenUsed/>
    <w:rsid w:val="00124AA9"/>
    <w:rPr>
      <w:b/>
      <w:bCs/>
    </w:rPr>
  </w:style>
  <w:style w:type="character" w:customStyle="1" w:styleId="KommentaremneTegn">
    <w:name w:val="Kommentaremne Tegn"/>
    <w:basedOn w:val="KommentartekstTegn"/>
    <w:link w:val="Kommentaremne"/>
    <w:uiPriority w:val="99"/>
    <w:semiHidden/>
    <w:rsid w:val="00124AA9"/>
    <w:rPr>
      <w:b/>
      <w:bCs/>
    </w:rPr>
  </w:style>
  <w:style w:type="paragraph" w:styleId="Korrektur">
    <w:name w:val="Revision"/>
    <w:hidden/>
    <w:uiPriority w:val="99"/>
    <w:semiHidden/>
    <w:rsid w:val="00AF19CC"/>
    <w:rPr>
      <w:sz w:val="18"/>
      <w:szCs w:val="18"/>
    </w:rPr>
  </w:style>
  <w:style w:type="paragraph" w:styleId="Opstilling-punkttegn">
    <w:name w:val="List Bullet"/>
    <w:basedOn w:val="Normal"/>
    <w:uiPriority w:val="99"/>
    <w:semiHidden/>
    <w:unhideWhenUsed/>
    <w:rsid w:val="00C07451"/>
    <w:pPr>
      <w:numPr>
        <w:numId w:val="13"/>
      </w:numPr>
      <w:contextualSpacing/>
    </w:pPr>
  </w:style>
  <w:style w:type="paragraph" w:styleId="Opstilling-talellerbogst">
    <w:name w:val="List Number"/>
    <w:basedOn w:val="Normal"/>
    <w:uiPriority w:val="99"/>
    <w:semiHidden/>
    <w:unhideWhenUsed/>
    <w:rsid w:val="00C07451"/>
    <w:pPr>
      <w:numPr>
        <w:numId w:val="15"/>
      </w:numPr>
      <w:contextualSpacing/>
    </w:pPr>
  </w:style>
  <w:style w:type="character" w:customStyle="1" w:styleId="Overskrift4Tegn">
    <w:name w:val="Overskrift 4 Tegn"/>
    <w:basedOn w:val="Standardskrifttypeiafsnit"/>
    <w:link w:val="Overskrift4"/>
    <w:rsid w:val="00695FF1"/>
    <w:rPr>
      <w:rFonts w:ascii="Arial" w:hAnsi="Arial"/>
      <w:bCs/>
      <w:spacing w:val="6"/>
      <w:sz w:val="22"/>
      <w:szCs w:val="28"/>
    </w:rPr>
  </w:style>
  <w:style w:type="character" w:customStyle="1" w:styleId="Overskrift5Tegn">
    <w:name w:val="Overskrift 5 Tegn"/>
    <w:basedOn w:val="Standardskrifttypeiafsnit"/>
    <w:link w:val="Overskrift5"/>
    <w:rsid w:val="00695FF1"/>
    <w:rPr>
      <w:rFonts w:ascii="Arial" w:hAnsi="Arial"/>
      <w:bCs/>
      <w:iCs/>
      <w:spacing w:val="6"/>
      <w:sz w:val="22"/>
      <w:szCs w:val="26"/>
    </w:rPr>
  </w:style>
  <w:style w:type="character" w:customStyle="1" w:styleId="Overskrift6Tegn">
    <w:name w:val="Overskrift 6 Tegn"/>
    <w:basedOn w:val="Standardskrifttypeiafsnit"/>
    <w:link w:val="Overskrift6"/>
    <w:rsid w:val="00695FF1"/>
    <w:rPr>
      <w:rFonts w:ascii="Times New Roman" w:hAnsi="Times New Roman"/>
      <w:b/>
      <w:bCs/>
      <w:spacing w:val="6"/>
      <w:sz w:val="22"/>
      <w:szCs w:val="22"/>
    </w:rPr>
  </w:style>
  <w:style w:type="character" w:customStyle="1" w:styleId="Overskrift7Tegn">
    <w:name w:val="Overskrift 7 Tegn"/>
    <w:basedOn w:val="Standardskrifttypeiafsnit"/>
    <w:link w:val="Overskrift7"/>
    <w:rsid w:val="00695FF1"/>
    <w:rPr>
      <w:rFonts w:ascii="Times New Roman" w:hAnsi="Times New Roman"/>
      <w:spacing w:val="6"/>
      <w:sz w:val="24"/>
    </w:rPr>
  </w:style>
  <w:style w:type="character" w:customStyle="1" w:styleId="Overskrift8Tegn">
    <w:name w:val="Overskrift 8 Tegn"/>
    <w:basedOn w:val="Standardskrifttypeiafsnit"/>
    <w:link w:val="Overskrift8"/>
    <w:rsid w:val="00695FF1"/>
    <w:rPr>
      <w:rFonts w:ascii="Times New Roman" w:hAnsi="Times New Roman"/>
      <w:i/>
      <w:iCs/>
      <w:spacing w:val="6"/>
      <w:sz w:val="24"/>
    </w:rPr>
  </w:style>
  <w:style w:type="character" w:customStyle="1" w:styleId="Overskrift9Tegn">
    <w:name w:val="Overskrift 9 Tegn"/>
    <w:basedOn w:val="Standardskrifttypeiafsnit"/>
    <w:link w:val="Overskrift9"/>
    <w:rsid w:val="00695FF1"/>
    <w:rPr>
      <w:rFonts w:ascii="Arial" w:hAnsi="Arial"/>
      <w:spacing w:val="6"/>
      <w:sz w:val="22"/>
      <w:szCs w:val="22"/>
    </w:rPr>
  </w:style>
  <w:style w:type="paragraph" w:styleId="Titel">
    <w:name w:val="Title"/>
    <w:basedOn w:val="Normal"/>
    <w:link w:val="TitelTegn"/>
    <w:qFormat/>
    <w:rsid w:val="00695FF1"/>
    <w:pPr>
      <w:spacing w:before="240" w:after="60"/>
      <w:jc w:val="center"/>
      <w:outlineLvl w:val="0"/>
    </w:pPr>
    <w:rPr>
      <w:b/>
      <w:bCs/>
      <w:kern w:val="28"/>
      <w:sz w:val="32"/>
      <w:szCs w:val="32"/>
    </w:rPr>
  </w:style>
  <w:style w:type="character" w:customStyle="1" w:styleId="TitelTegn">
    <w:name w:val="Titel Tegn"/>
    <w:basedOn w:val="Standardskrifttypeiafsnit"/>
    <w:link w:val="Titel"/>
    <w:rsid w:val="00695FF1"/>
    <w:rPr>
      <w:rFonts w:ascii="Arial" w:hAnsi="Arial"/>
      <w:b/>
      <w:bCs/>
      <w:spacing w:val="6"/>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19" w:qFormat="1"/>
    <w:lsdException w:name="heading 3" w:uiPriority="6" w:qFormat="1"/>
    <w:lsdException w:name="heading 4" w:uiPriority="9" w:unhideWhenUsed="0"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footer" w:uiPriority="13"/>
    <w:lsdException w:name="caption" w:uiPriority="35" w:qFormat="1"/>
    <w:lsdException w:name="Title" w:uiPriority="29" w:unhideWhenUsed="0" w:qFormat="1"/>
    <w:lsdException w:name="Signature" w:uiPriority="12"/>
    <w:lsdException w:name="Default Paragraph Font" w:uiPriority="1"/>
    <w:lsdException w:name="Subtitle" w:uiPriority="29" w:unhideWhenUsed="0" w:qFormat="1"/>
    <w:lsdException w:name="Strong" w:uiPriority="29" w:unhideWhenUsed="0" w:qFormat="1"/>
    <w:lsdException w:name="Emphasis" w:uiPriority="29" w:unhideWhenUsed="0" w:qFormat="1"/>
    <w:lsdException w:name="Table Grid" w:semiHidden="0" w:uiPriority="59" w:unhideWhenUsed="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unhideWhenUsed="0" w:qFormat="1"/>
    <w:lsdException w:name="Intense Emphasis" w:uiPriority="29" w:unhideWhenUsed="0" w:qFormat="1"/>
    <w:lsdException w:name="Subtle Reference" w:uiPriority="29" w:unhideWhenUsed="0" w:qFormat="1"/>
    <w:lsdException w:name="Intense Reference" w:uiPriority="29"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12E8"/>
    <w:pPr>
      <w:spacing w:line="288" w:lineRule="auto"/>
      <w:jc w:val="both"/>
    </w:pPr>
    <w:rPr>
      <w:sz w:val="18"/>
      <w:szCs w:val="18"/>
    </w:rPr>
  </w:style>
  <w:style w:type="paragraph" w:styleId="Overskrift1">
    <w:name w:val="heading 1"/>
    <w:basedOn w:val="Normal"/>
    <w:next w:val="Normal"/>
    <w:link w:val="Overskrift1Tegn"/>
    <w:uiPriority w:val="5"/>
    <w:qFormat/>
    <w:rsid w:val="009A12E8"/>
    <w:pPr>
      <w:keepNext/>
      <w:spacing w:after="360"/>
      <w:outlineLvl w:val="0"/>
    </w:pPr>
    <w:rPr>
      <w:caps/>
      <w:spacing w:val="40"/>
    </w:rPr>
  </w:style>
  <w:style w:type="paragraph" w:styleId="Overskrift2">
    <w:name w:val="heading 2"/>
    <w:basedOn w:val="Normal"/>
    <w:next w:val="Normal"/>
    <w:link w:val="Overskrift2Tegn"/>
    <w:uiPriority w:val="19"/>
    <w:semiHidden/>
    <w:qFormat/>
    <w:rsid w:val="009A12E8"/>
    <w:pPr>
      <w:keepNext/>
      <w:tabs>
        <w:tab w:val="num" w:pos="567"/>
      </w:tabs>
      <w:spacing w:after="360"/>
      <w:outlineLvl w:val="1"/>
    </w:pPr>
    <w:rPr>
      <w:caps/>
      <w:spacing w:val="40"/>
    </w:rPr>
  </w:style>
  <w:style w:type="paragraph" w:styleId="Overskrift3">
    <w:name w:val="heading 3"/>
    <w:basedOn w:val="Normal"/>
    <w:next w:val="Normal"/>
    <w:link w:val="Overskrift3Tegn"/>
    <w:uiPriority w:val="6"/>
    <w:qFormat/>
    <w:rsid w:val="009A12E8"/>
    <w:pPr>
      <w:keepNext/>
      <w:tabs>
        <w:tab w:val="num" w:pos="567"/>
      </w:tabs>
      <w:outlineLvl w:val="2"/>
    </w:pPr>
    <w:rPr>
      <w:b/>
      <w:caps/>
      <w:spacing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Ctrlshifta">
    <w:name w:val="Indryk (Ctrl+shift+a)"/>
    <w:basedOn w:val="Normal"/>
    <w:uiPriority w:val="1"/>
    <w:qFormat/>
    <w:rsid w:val="009A12E8"/>
    <w:pPr>
      <w:ind w:left="851"/>
    </w:pPr>
  </w:style>
  <w:style w:type="character" w:customStyle="1" w:styleId="Overskrift1Tegn">
    <w:name w:val="Overskrift 1 Tegn"/>
    <w:link w:val="Overskrift1"/>
    <w:uiPriority w:val="5"/>
    <w:rsid w:val="009A12E8"/>
    <w:rPr>
      <w:caps/>
      <w:spacing w:val="40"/>
      <w:sz w:val="18"/>
      <w:szCs w:val="18"/>
    </w:rPr>
  </w:style>
  <w:style w:type="paragraph" w:customStyle="1" w:styleId="LROverskrift1Alt1">
    <w:name w:val="LR Overskrift 1 (Alt+1)"/>
    <w:basedOn w:val="Overskrift1"/>
    <w:next w:val="IndrykCtrlshifta"/>
    <w:uiPriority w:val="2"/>
    <w:qFormat/>
    <w:rsid w:val="009A12E8"/>
    <w:pPr>
      <w:numPr>
        <w:numId w:val="1"/>
      </w:numPr>
    </w:pPr>
  </w:style>
  <w:style w:type="table" w:styleId="Tabel-Gitter">
    <w:name w:val="Table Grid"/>
    <w:basedOn w:val="Tabel-Normal"/>
    <w:uiPriority w:val="59"/>
    <w:rsid w:val="009A12E8"/>
    <w:pPr>
      <w:spacing w:line="276" w:lineRule="auto"/>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AtAlt7">
    <w:name w:val="Opstil At (Alt+7)"/>
    <w:basedOn w:val="Normal"/>
    <w:uiPriority w:val="7"/>
    <w:qFormat/>
    <w:rsid w:val="009A12E8"/>
    <w:pPr>
      <w:numPr>
        <w:numId w:val="2"/>
      </w:numPr>
      <w:spacing w:after="240"/>
    </w:pPr>
  </w:style>
  <w:style w:type="paragraph" w:customStyle="1" w:styleId="OpstilBogstavAlt8">
    <w:name w:val="Opstil Bogstav (Alt+8)"/>
    <w:basedOn w:val="Normal"/>
    <w:uiPriority w:val="8"/>
    <w:qFormat/>
    <w:rsid w:val="009A12E8"/>
    <w:pPr>
      <w:numPr>
        <w:numId w:val="3"/>
      </w:numPr>
      <w:spacing w:after="240"/>
    </w:pPr>
  </w:style>
  <w:style w:type="paragraph" w:customStyle="1" w:styleId="OpstilflereniveauerAlt2">
    <w:name w:val="Opstil flere niveauer (Alt+2)"/>
    <w:basedOn w:val="Normal"/>
    <w:next w:val="IndrykCtrlshifta"/>
    <w:uiPriority w:val="3"/>
    <w:qFormat/>
    <w:rsid w:val="009A12E8"/>
    <w:pPr>
      <w:numPr>
        <w:ilvl w:val="1"/>
        <w:numId w:val="1"/>
      </w:numPr>
      <w:spacing w:after="360"/>
    </w:pPr>
  </w:style>
  <w:style w:type="paragraph" w:customStyle="1" w:styleId="OpstilPindAlt9">
    <w:name w:val="Opstil Pind (Alt+9)"/>
    <w:basedOn w:val="Normal"/>
    <w:uiPriority w:val="10"/>
    <w:qFormat/>
    <w:rsid w:val="009A12E8"/>
    <w:pPr>
      <w:numPr>
        <w:numId w:val="5"/>
      </w:numPr>
      <w:spacing w:after="240"/>
    </w:pPr>
  </w:style>
  <w:style w:type="paragraph" w:customStyle="1" w:styleId="OpstilPktAlt6">
    <w:name w:val="Opstil Pkt (Alt+6)"/>
    <w:basedOn w:val="Normal"/>
    <w:uiPriority w:val="9"/>
    <w:qFormat/>
    <w:rsid w:val="009A12E8"/>
    <w:pPr>
      <w:numPr>
        <w:numId w:val="6"/>
      </w:numPr>
    </w:pPr>
  </w:style>
  <w:style w:type="paragraph" w:customStyle="1" w:styleId="OpstilTalAlt5">
    <w:name w:val="Opstil Tal (Alt+5)"/>
    <w:basedOn w:val="Normal"/>
    <w:uiPriority w:val="4"/>
    <w:qFormat/>
    <w:rsid w:val="009A12E8"/>
    <w:pPr>
      <w:numPr>
        <w:numId w:val="7"/>
      </w:numPr>
      <w:spacing w:after="240"/>
    </w:pPr>
  </w:style>
  <w:style w:type="character" w:customStyle="1" w:styleId="Overskrift2Tegn">
    <w:name w:val="Overskrift 2 Tegn"/>
    <w:link w:val="Overskrift2"/>
    <w:uiPriority w:val="19"/>
    <w:semiHidden/>
    <w:rsid w:val="009A12E8"/>
    <w:rPr>
      <w:caps/>
      <w:spacing w:val="40"/>
      <w:sz w:val="18"/>
      <w:szCs w:val="18"/>
    </w:rPr>
  </w:style>
  <w:style w:type="character" w:customStyle="1" w:styleId="Overskrift3Tegn">
    <w:name w:val="Overskrift 3 Tegn"/>
    <w:link w:val="Overskrift3"/>
    <w:uiPriority w:val="6"/>
    <w:rsid w:val="009A12E8"/>
    <w:rPr>
      <w:b/>
      <w:caps/>
      <w:spacing w:val="40"/>
      <w:sz w:val="18"/>
      <w:szCs w:val="18"/>
    </w:rPr>
  </w:style>
  <w:style w:type="paragraph" w:customStyle="1" w:styleId="Modtager">
    <w:name w:val="Modtager"/>
    <w:basedOn w:val="Normal"/>
    <w:uiPriority w:val="98"/>
    <w:semiHidden/>
    <w:rsid w:val="009A12E8"/>
  </w:style>
  <w:style w:type="paragraph" w:styleId="Sidehoved">
    <w:name w:val="header"/>
    <w:basedOn w:val="Normal"/>
    <w:link w:val="SidehovedTegn"/>
    <w:uiPriority w:val="13"/>
    <w:unhideWhenUsed/>
    <w:rsid w:val="009A12E8"/>
    <w:pPr>
      <w:tabs>
        <w:tab w:val="left" w:pos="7995"/>
        <w:tab w:val="right" w:pos="10206"/>
      </w:tabs>
    </w:pPr>
    <w:rPr>
      <w:sz w:val="13"/>
    </w:rPr>
  </w:style>
  <w:style w:type="character" w:customStyle="1" w:styleId="SidehovedTegn">
    <w:name w:val="Sidehoved Tegn"/>
    <w:link w:val="Sidehoved"/>
    <w:uiPriority w:val="13"/>
    <w:rsid w:val="009A12E8"/>
    <w:rPr>
      <w:sz w:val="13"/>
      <w:szCs w:val="18"/>
    </w:rPr>
  </w:style>
  <w:style w:type="paragraph" w:styleId="Sidefod">
    <w:name w:val="footer"/>
    <w:basedOn w:val="Normal"/>
    <w:link w:val="SidefodTegn"/>
    <w:uiPriority w:val="13"/>
    <w:unhideWhenUsed/>
    <w:rsid w:val="009A12E8"/>
    <w:pPr>
      <w:tabs>
        <w:tab w:val="center" w:pos="3997"/>
      </w:tabs>
    </w:pPr>
    <w:rPr>
      <w:sz w:val="14"/>
    </w:rPr>
  </w:style>
  <w:style w:type="character" w:customStyle="1" w:styleId="SidefodTegn">
    <w:name w:val="Sidefod Tegn"/>
    <w:link w:val="Sidefod"/>
    <w:uiPriority w:val="13"/>
    <w:rsid w:val="009A12E8"/>
    <w:rPr>
      <w:sz w:val="14"/>
      <w:szCs w:val="18"/>
    </w:rPr>
  </w:style>
  <w:style w:type="paragraph" w:styleId="Markeringsbobletekst">
    <w:name w:val="Balloon Text"/>
    <w:basedOn w:val="Normal"/>
    <w:link w:val="MarkeringsbobletekstTegn"/>
    <w:uiPriority w:val="99"/>
    <w:semiHidden/>
    <w:unhideWhenUsed/>
    <w:rsid w:val="009A12E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9A12E8"/>
    <w:rPr>
      <w:rFonts w:ascii="Tahoma" w:hAnsi="Tahoma" w:cs="Tahoma"/>
      <w:sz w:val="16"/>
      <w:szCs w:val="16"/>
    </w:rPr>
  </w:style>
  <w:style w:type="character" w:styleId="Hyperlink">
    <w:name w:val="Hyperlink"/>
    <w:uiPriority w:val="99"/>
    <w:unhideWhenUsed/>
    <w:rsid w:val="009A12E8"/>
    <w:rPr>
      <w:color w:val="0000FF"/>
      <w:u w:val="single"/>
    </w:rPr>
  </w:style>
  <w:style w:type="paragraph" w:customStyle="1" w:styleId="Logo01">
    <w:name w:val="Logo01"/>
    <w:semiHidden/>
    <w:qFormat/>
    <w:rsid w:val="009A12E8"/>
    <w:pPr>
      <w:tabs>
        <w:tab w:val="left" w:pos="8080"/>
        <w:tab w:val="right" w:pos="10348"/>
      </w:tabs>
      <w:spacing w:line="336" w:lineRule="auto"/>
    </w:pPr>
    <w:rPr>
      <w:noProof/>
      <w:color w:val="404040"/>
      <w:sz w:val="13"/>
      <w:szCs w:val="18"/>
    </w:rPr>
  </w:style>
  <w:style w:type="character" w:styleId="Sidetal">
    <w:name w:val="page number"/>
    <w:uiPriority w:val="99"/>
    <w:rsid w:val="009A12E8"/>
    <w:rPr>
      <w:rFonts w:ascii="Lucida Sans Unicode" w:hAnsi="Lucida Sans Unicode"/>
      <w:sz w:val="18"/>
    </w:rPr>
  </w:style>
  <w:style w:type="paragraph" w:styleId="Fodnotetekst">
    <w:name w:val="footnote text"/>
    <w:basedOn w:val="Normal"/>
    <w:link w:val="FodnotetekstTegn"/>
    <w:uiPriority w:val="99"/>
    <w:semiHidden/>
    <w:unhideWhenUsed/>
    <w:rsid w:val="009A12E8"/>
    <w:pPr>
      <w:jc w:val="left"/>
    </w:pPr>
    <w:rPr>
      <w:sz w:val="14"/>
      <w:szCs w:val="20"/>
    </w:rPr>
  </w:style>
  <w:style w:type="character" w:customStyle="1" w:styleId="FodnotetekstTegn">
    <w:name w:val="Fodnotetekst Tegn"/>
    <w:link w:val="Fodnotetekst"/>
    <w:uiPriority w:val="99"/>
    <w:semiHidden/>
    <w:rsid w:val="009A12E8"/>
    <w:rPr>
      <w:sz w:val="14"/>
    </w:rPr>
  </w:style>
  <w:style w:type="paragraph" w:styleId="Underskrift">
    <w:name w:val="Signature"/>
    <w:basedOn w:val="Normal"/>
    <w:link w:val="UnderskriftTegn"/>
    <w:uiPriority w:val="12"/>
    <w:rsid w:val="009A12E8"/>
    <w:pPr>
      <w:keepNext/>
      <w:keepLines/>
      <w:spacing w:line="240" w:lineRule="auto"/>
      <w:jc w:val="left"/>
    </w:pPr>
  </w:style>
  <w:style w:type="character" w:customStyle="1" w:styleId="UnderskriftTegn">
    <w:name w:val="Underskrift Tegn"/>
    <w:link w:val="Underskrift"/>
    <w:uiPriority w:val="12"/>
    <w:rsid w:val="009A12E8"/>
    <w:rPr>
      <w:sz w:val="18"/>
      <w:szCs w:val="18"/>
    </w:rPr>
  </w:style>
  <w:style w:type="paragraph" w:customStyle="1" w:styleId="LogoLR01">
    <w:name w:val="LogoLR01"/>
    <w:qFormat/>
    <w:rsid w:val="009A12E8"/>
    <w:pPr>
      <w:tabs>
        <w:tab w:val="center" w:pos="3969"/>
      </w:tabs>
      <w:spacing w:line="280" w:lineRule="atLeast"/>
      <w:ind w:left="-567" w:right="-568"/>
    </w:pPr>
    <w:rPr>
      <w:rFonts w:ascii="Times New Roman" w:hAnsi="Times New Roman"/>
      <w:noProof/>
      <w:color w:val="727272"/>
      <w:w w:val="102"/>
      <w:sz w:val="17"/>
      <w:szCs w:val="17"/>
    </w:rPr>
  </w:style>
  <w:style w:type="paragraph" w:customStyle="1" w:styleId="VedrAlt6">
    <w:name w:val="Vedr (Alt+6)"/>
    <w:basedOn w:val="Normal"/>
    <w:next w:val="Normal"/>
    <w:qFormat/>
    <w:rsid w:val="002E6E26"/>
    <w:rPr>
      <w:caps/>
      <w:spacing w:val="40"/>
    </w:rPr>
  </w:style>
  <w:style w:type="paragraph" w:styleId="Indholdsfortegnelse1">
    <w:name w:val="toc 1"/>
    <w:basedOn w:val="Normal"/>
    <w:next w:val="Normal"/>
    <w:autoRedefine/>
    <w:uiPriority w:val="39"/>
    <w:unhideWhenUsed/>
    <w:rsid w:val="00590E0E"/>
    <w:pPr>
      <w:spacing w:after="100"/>
    </w:pPr>
  </w:style>
  <w:style w:type="paragraph" w:styleId="Listeafsnit">
    <w:name w:val="List Paragraph"/>
    <w:basedOn w:val="Normal"/>
    <w:uiPriority w:val="34"/>
    <w:qFormat/>
    <w:rsid w:val="007171E7"/>
    <w:pPr>
      <w:tabs>
        <w:tab w:val="left" w:pos="567"/>
        <w:tab w:val="left" w:pos="1134"/>
        <w:tab w:val="left" w:pos="1701"/>
      </w:tabs>
      <w:overflowPunct w:val="0"/>
      <w:autoSpaceDE w:val="0"/>
      <w:autoSpaceDN w:val="0"/>
      <w:adjustRightInd w:val="0"/>
      <w:spacing w:line="360" w:lineRule="auto"/>
      <w:ind w:left="720"/>
      <w:contextualSpacing/>
      <w:textAlignment w:val="baseline"/>
    </w:pPr>
    <w:rPr>
      <w:rFonts w:ascii="Tahoma" w:hAnsi="Tahoma"/>
      <w:bCs/>
      <w:spacing w:val="10"/>
      <w:sz w:val="20"/>
      <w:szCs w:val="20"/>
    </w:rPr>
  </w:style>
  <w:style w:type="character" w:styleId="Bogenstitel">
    <w:name w:val="Book Title"/>
    <w:uiPriority w:val="33"/>
    <w:qFormat/>
    <w:rsid w:val="00F8671E"/>
    <w:rPr>
      <w:b/>
      <w:bCs/>
      <w:smallCaps/>
      <w:spacing w:val="5"/>
    </w:rPr>
  </w:style>
  <w:style w:type="paragraph" w:styleId="Overskrift">
    <w:name w:val="TOC Heading"/>
    <w:basedOn w:val="Overskrift1"/>
    <w:next w:val="Normal"/>
    <w:uiPriority w:val="39"/>
    <w:unhideWhenUsed/>
    <w:qFormat/>
    <w:rsid w:val="00C43D15"/>
    <w:pPr>
      <w:keepLines/>
      <w:spacing w:before="480" w:after="0" w:line="276" w:lineRule="auto"/>
      <w:jc w:val="left"/>
      <w:outlineLvl w:val="9"/>
    </w:pPr>
    <w:rPr>
      <w:rFonts w:asciiTheme="majorHAnsi" w:eastAsiaTheme="majorEastAsia" w:hAnsiTheme="majorHAnsi" w:cstheme="majorBidi"/>
      <w:b/>
      <w:bCs/>
      <w:caps w:val="0"/>
      <w:color w:val="365F91" w:themeColor="accent1" w:themeShade="BF"/>
      <w:spacing w:val="0"/>
      <w:sz w:val="28"/>
      <w:szCs w:val="28"/>
    </w:rPr>
  </w:style>
  <w:style w:type="character" w:styleId="Kommentarhenvisning">
    <w:name w:val="annotation reference"/>
    <w:basedOn w:val="Standardskrifttypeiafsnit"/>
    <w:uiPriority w:val="99"/>
    <w:semiHidden/>
    <w:unhideWhenUsed/>
    <w:rsid w:val="00124AA9"/>
    <w:rPr>
      <w:sz w:val="16"/>
      <w:szCs w:val="16"/>
    </w:rPr>
  </w:style>
  <w:style w:type="paragraph" w:styleId="Kommentartekst">
    <w:name w:val="annotation text"/>
    <w:basedOn w:val="Normal"/>
    <w:link w:val="KommentartekstTegn"/>
    <w:uiPriority w:val="99"/>
    <w:unhideWhenUsed/>
    <w:rsid w:val="00124AA9"/>
    <w:pPr>
      <w:spacing w:line="240" w:lineRule="auto"/>
    </w:pPr>
    <w:rPr>
      <w:sz w:val="20"/>
      <w:szCs w:val="20"/>
    </w:rPr>
  </w:style>
  <w:style w:type="character" w:customStyle="1" w:styleId="KommentartekstTegn">
    <w:name w:val="Kommentartekst Tegn"/>
    <w:basedOn w:val="Standardskrifttypeiafsnit"/>
    <w:link w:val="Kommentartekst"/>
    <w:uiPriority w:val="99"/>
    <w:rsid w:val="00124AA9"/>
  </w:style>
  <w:style w:type="paragraph" w:styleId="Kommentaremne">
    <w:name w:val="annotation subject"/>
    <w:basedOn w:val="Kommentartekst"/>
    <w:next w:val="Kommentartekst"/>
    <w:link w:val="KommentaremneTegn"/>
    <w:uiPriority w:val="99"/>
    <w:semiHidden/>
    <w:unhideWhenUsed/>
    <w:rsid w:val="00124AA9"/>
    <w:rPr>
      <w:b/>
      <w:bCs/>
    </w:rPr>
  </w:style>
  <w:style w:type="character" w:customStyle="1" w:styleId="KommentaremneTegn">
    <w:name w:val="Kommentaremne Tegn"/>
    <w:basedOn w:val="KommentartekstTegn"/>
    <w:link w:val="Kommentaremne"/>
    <w:uiPriority w:val="99"/>
    <w:semiHidden/>
    <w:rsid w:val="00124AA9"/>
    <w:rPr>
      <w:b/>
      <w:bCs/>
    </w:rPr>
  </w:style>
  <w:style w:type="paragraph" w:styleId="Korrektur">
    <w:name w:val="Revision"/>
    <w:hidden/>
    <w:uiPriority w:val="99"/>
    <w:semiHidden/>
    <w:rsid w:val="00AF19CC"/>
    <w:rPr>
      <w:sz w:val="18"/>
      <w:szCs w:val="18"/>
    </w:rPr>
  </w:style>
  <w:style w:type="paragraph" w:styleId="Opstilling-punkttegn">
    <w:name w:val="List Bullet"/>
    <w:basedOn w:val="Normal"/>
    <w:uiPriority w:val="99"/>
    <w:semiHidden/>
    <w:unhideWhenUsed/>
    <w:rsid w:val="00C07451"/>
    <w:pPr>
      <w:numPr>
        <w:numId w:val="13"/>
      </w:numPr>
      <w:contextualSpacing/>
    </w:pPr>
  </w:style>
  <w:style w:type="paragraph" w:styleId="Opstilling-talellerbogst">
    <w:name w:val="List Number"/>
    <w:basedOn w:val="Normal"/>
    <w:uiPriority w:val="99"/>
    <w:semiHidden/>
    <w:unhideWhenUsed/>
    <w:rsid w:val="00C07451"/>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300961849">
      <w:bodyDiv w:val="1"/>
      <w:marLeft w:val="0"/>
      <w:marRight w:val="0"/>
      <w:marTop w:val="0"/>
      <w:marBottom w:val="0"/>
      <w:divBdr>
        <w:top w:val="none" w:sz="0" w:space="0" w:color="auto"/>
        <w:left w:val="none" w:sz="0" w:space="0" w:color="auto"/>
        <w:bottom w:val="none" w:sz="0" w:space="0" w:color="auto"/>
        <w:right w:val="none" w:sz="0" w:space="0" w:color="auto"/>
      </w:divBdr>
    </w:div>
    <w:div w:id="535890014">
      <w:bodyDiv w:val="1"/>
      <w:marLeft w:val="0"/>
      <w:marRight w:val="0"/>
      <w:marTop w:val="0"/>
      <w:marBottom w:val="0"/>
      <w:divBdr>
        <w:top w:val="none" w:sz="0" w:space="0" w:color="auto"/>
        <w:left w:val="none" w:sz="0" w:space="0" w:color="auto"/>
        <w:bottom w:val="none" w:sz="0" w:space="0" w:color="auto"/>
        <w:right w:val="none" w:sz="0" w:space="0" w:color="auto"/>
      </w:divBdr>
    </w:div>
    <w:div w:id="1227062353">
      <w:bodyDiv w:val="1"/>
      <w:marLeft w:val="0"/>
      <w:marRight w:val="0"/>
      <w:marTop w:val="0"/>
      <w:marBottom w:val="0"/>
      <w:divBdr>
        <w:top w:val="none" w:sz="0" w:space="0" w:color="auto"/>
        <w:left w:val="none" w:sz="0" w:space="0" w:color="auto"/>
        <w:bottom w:val="none" w:sz="0" w:space="0" w:color="auto"/>
        <w:right w:val="none" w:sz="0" w:space="0" w:color="auto"/>
      </w:divBdr>
    </w:div>
    <w:div w:id="1391270612">
      <w:bodyDiv w:val="1"/>
      <w:marLeft w:val="0"/>
      <w:marRight w:val="0"/>
      <w:marTop w:val="0"/>
      <w:marBottom w:val="0"/>
      <w:divBdr>
        <w:top w:val="none" w:sz="0" w:space="0" w:color="auto"/>
        <w:left w:val="none" w:sz="0" w:space="0" w:color="auto"/>
        <w:bottom w:val="none" w:sz="0" w:space="0" w:color="auto"/>
        <w:right w:val="none" w:sz="0" w:space="0" w:color="auto"/>
      </w:divBdr>
    </w:div>
    <w:div w:id="20125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E9A3-15AA-4841-95C3-8F5AD664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3798</Words>
  <Characters>23169</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Blankt dokument - Navokat</vt:lpstr>
    </vt:vector>
  </TitlesOfParts>
  <Manager>MS Word, ver. 2010</Manager>
  <Company>© EG A/S, EG Advokat</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Blankt dokument - Navokat</dc:title>
  <dc:creator>Mathilde Snedled</dc:creator>
  <cp:lastModifiedBy>iamofo</cp:lastModifiedBy>
  <cp:revision>3</cp:revision>
  <cp:lastPrinted>2015-03-04T16:08:00Z</cp:lastPrinted>
  <dcterms:created xsi:type="dcterms:W3CDTF">2015-03-05T14:32:00Z</dcterms:created>
  <dcterms:modified xsi:type="dcterms:W3CDTF">2015-03-08T10:19:00Z</dcterms:modified>
  <cp:category>dok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zzFaxMail">
    <vt:lpwstr/>
  </property>
  <property fmtid="{D5CDD505-2E9C-101B-9397-08002B2CF9AE}" pid="4" name="Jnr">
    <vt:lpwstr>07680</vt:lpwstr>
  </property>
  <property fmtid="{D5CDD505-2E9C-101B-9397-08002B2CF9AE}" pid="5" name="_NewReviewCycle">
    <vt:lpwstr/>
  </property>
</Properties>
</file>