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2B6" w:rsidRPr="00597E23" w:rsidRDefault="002251A0" w:rsidP="00E821D9">
      <w:pPr>
        <w:pStyle w:val="Overskrift1"/>
      </w:pPr>
      <w:r>
        <w:rPr>
          <w:noProof/>
        </w:rPr>
        <mc:AlternateContent>
          <mc:Choice Requires="wps">
            <w:drawing>
              <wp:anchor distT="0" distB="0" distL="114300" distR="114300" simplePos="0" relativeHeight="251664384" behindDoc="0" locked="0" layoutInCell="1" allowOverlap="1" wp14:anchorId="1A77D002" wp14:editId="01738CFC">
                <wp:simplePos x="0" y="0"/>
                <wp:positionH relativeFrom="page">
                  <wp:align>center</wp:align>
                </wp:positionH>
                <wp:positionV relativeFrom="paragraph">
                  <wp:posOffset>690245</wp:posOffset>
                </wp:positionV>
                <wp:extent cx="5375910" cy="0"/>
                <wp:effectExtent l="0" t="0" r="15240" b="19050"/>
                <wp:wrapNone/>
                <wp:docPr id="1" name="Shape 3393"/>
                <wp:cNvGraphicFramePr/>
                <a:graphic xmlns:a="http://schemas.openxmlformats.org/drawingml/2006/main">
                  <a:graphicData uri="http://schemas.microsoft.com/office/word/2010/wordprocessingShape">
                    <wps:wsp>
                      <wps:cNvSpPr/>
                      <wps:spPr>
                        <a:xfrm>
                          <a:off x="0" y="0"/>
                          <a:ext cx="5375910" cy="0"/>
                        </a:xfrm>
                        <a:custGeom>
                          <a:avLst/>
                          <a:gdLst/>
                          <a:ahLst/>
                          <a:cxnLst/>
                          <a:rect l="0" t="0" r="0" b="0"/>
                          <a:pathLst>
                            <a:path w="5375999">
                              <a:moveTo>
                                <a:pt x="0" y="0"/>
                              </a:moveTo>
                              <a:lnTo>
                                <a:pt x="5375999" y="0"/>
                              </a:lnTo>
                            </a:path>
                          </a:pathLst>
                        </a:custGeom>
                        <a:ln w="12700" cap="flat">
                          <a:solidFill>
                            <a:srgbClr val="E6433C"/>
                          </a:solidFill>
                          <a:miter lim="100000"/>
                        </a:ln>
                      </wps:spPr>
                      <wps:style>
                        <a:lnRef idx="1">
                          <a:srgbClr val="1BAAC6"/>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737161EC" id="Shape 3393" o:spid="_x0000_s1026" style="position:absolute;margin-left:0;margin-top:54.35pt;width:423.3pt;height:0;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coordsize="53759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" path="m,l5375999,e" filled="f" strokecolor="#e6433c" strokeweight="1pt">
                <v:stroke miterlimit="1" joinstyle="miter"/>
                <v:path arrowok="t" textboxrect="0,0,5375999,0"/>
                <w10:wrap anchorx="page"/>
              </v:shape>
            </w:pict>
          </mc:Fallback>
        </mc:AlternateContent>
      </w:r>
      <w:r w:rsidR="00E25D35">
        <w:t>Fiskekvoter</w:t>
      </w:r>
    </w:p>
    <w:p w:rsidR="00E25D35" w:rsidRDefault="00E25D35" w:rsidP="00E25D35">
      <w:pPr>
        <w:pStyle w:val="Overskrift2"/>
      </w:pPr>
      <w:r>
        <w:t>Mandat til regeringen om forslag</w:t>
      </w:r>
      <w:r w:rsidRPr="00CB0A36">
        <w:t xml:space="preserve"> til </w:t>
      </w:r>
      <w:r>
        <w:t xml:space="preserve">fiskeri efter </w:t>
      </w:r>
      <w:r w:rsidRPr="00CB0A36">
        <w:t xml:space="preserve">torsk og andre fisk i </w:t>
      </w:r>
      <w:r>
        <w:t>Østersøen</w:t>
      </w:r>
      <w:r w:rsidR="00C3223A">
        <w:br/>
      </w:r>
    </w:p>
    <w:p w:rsidR="00597E23" w:rsidRPr="00E25D35" w:rsidRDefault="00E25D35" w:rsidP="00597E23">
      <w:pPr>
        <w:rPr>
          <w:b/>
        </w:rPr>
      </w:pPr>
      <w:r>
        <w:rPr>
          <w:b/>
          <w:sz w:val="24"/>
          <w:szCs w:val="24"/>
        </w:rPr>
        <w:t xml:space="preserve">Referat: </w:t>
      </w:r>
      <w:hyperlink r:id="rId7" w:history="1">
        <w:r>
          <w:rPr>
            <w:rStyle w:val="Hyperlink"/>
          </w:rPr>
          <w:t>http://www.eu.dk/samling/20151/almdel/EUU/bilag/94/1567181.pdf</w:t>
        </w:r>
      </w:hyperlink>
      <w:r>
        <w:rPr>
          <w:rStyle w:val="Hyperlink"/>
        </w:rPr>
        <w:br/>
      </w:r>
      <w:r w:rsidRPr="00E25D35">
        <w:rPr>
          <w:rStyle w:val="Hyperlink"/>
          <w:b/>
          <w:color w:val="auto"/>
          <w:u w:val="none"/>
        </w:rPr>
        <w:t>Samlenotat:</w:t>
      </w:r>
      <w:r>
        <w:rPr>
          <w:rStyle w:val="Hyperlink"/>
          <w:color w:val="auto"/>
        </w:rPr>
        <w:t xml:space="preserve"> </w:t>
      </w:r>
      <w:hyperlink r:id="rId8" w:history="1">
        <w:r w:rsidRPr="00E25D35">
          <w:rPr>
            <w:rStyle w:val="Hyperlink"/>
          </w:rPr>
          <w:t>http://www.eu.dk/samling/20142/raadsmoede/556313/bilag/1/1551260.pdf</w:t>
        </w:r>
      </w:hyperlink>
      <w:r w:rsidRPr="00EF31F2">
        <w:rPr>
          <w:rStyle w:val="Hyperlink"/>
          <w:b/>
          <w:color w:val="auto"/>
        </w:rPr>
        <w:t xml:space="preserve"> </w:t>
      </w:r>
    </w:p>
    <w:p w:rsidR="00597E23" w:rsidRPr="00EC4928" w:rsidRDefault="00803F77" w:rsidP="00597E23">
      <w:pPr>
        <w:pStyle w:val="RubrikMellem"/>
        <w:rPr>
          <w:lang w:val="da-DK"/>
        </w:rPr>
      </w:pPr>
      <w:r>
        <w:rPr>
          <w:lang w:val="da-DK"/>
        </w:rPr>
        <w:br/>
        <w:t>SAGEN</w:t>
      </w:r>
      <w:r w:rsidR="00E25D35" w:rsidRPr="00E25D35">
        <w:rPr>
          <w:lang w:val="da-DK"/>
        </w:rPr>
        <w:t>:</w:t>
      </w:r>
    </w:p>
    <w:p w:rsidR="00DD615E" w:rsidRDefault="00E25D35" w:rsidP="00E25D35">
      <w:r>
        <w:t>Hvert år vedtager EU, hvor mange fisk, der må fanges i de europæiske farv</w:t>
      </w:r>
      <w:r w:rsidR="000149B6">
        <w:t>ande</w:t>
      </w:r>
      <w:r w:rsidR="002F4539">
        <w:t xml:space="preserve">. Det hedder en TAC, og står for Total </w:t>
      </w:r>
      <w:proofErr w:type="spellStart"/>
      <w:r w:rsidR="002F4539">
        <w:t>Allowable</w:t>
      </w:r>
      <w:proofErr w:type="spellEnd"/>
      <w:r w:rsidR="002F4539">
        <w:t xml:space="preserve"> </w:t>
      </w:r>
      <w:proofErr w:type="spellStart"/>
      <w:r w:rsidR="002F4539">
        <w:t>Catch</w:t>
      </w:r>
      <w:proofErr w:type="spellEnd"/>
      <w:r w:rsidR="002F4539">
        <w:t xml:space="preserve"> – på dansk kalder vi det bare en kvote. </w:t>
      </w:r>
      <w:r w:rsidR="00DD615E">
        <w:t>Når EU fastsætter en kvote, forsøger de på den ene side at tage hensyn til øk</w:t>
      </w:r>
      <w:r w:rsidR="001D3405">
        <w:t xml:space="preserve">osystemerne og fiskebestandene, </w:t>
      </w:r>
      <w:r w:rsidR="00DD615E">
        <w:t xml:space="preserve">og på den anden side industrien og fiskerne, der stadig </w:t>
      </w:r>
      <w:r w:rsidR="002B24E8">
        <w:t>skal kunne leve af at fiske</w:t>
      </w:r>
      <w:r w:rsidR="00DD615E">
        <w:t>.</w:t>
      </w:r>
    </w:p>
    <w:p w:rsidR="00590B5C" w:rsidRDefault="00590B5C" w:rsidP="00E25D35">
      <w:r>
        <w:t xml:space="preserve">Som med alle andre spørgsmål forhandler regeringen på Danmarks vegne – med </w:t>
      </w:r>
      <w:r w:rsidR="005C1308">
        <w:t>mandat fra Europaudvalget. D</w:t>
      </w:r>
      <w:r>
        <w:t>eres største fokus ligger på de fisk, som bliver fanget i de danske farvande</w:t>
      </w:r>
      <w:r w:rsidR="00DD615E">
        <w:t xml:space="preserve"> </w:t>
      </w:r>
      <w:r w:rsidR="00D922D9">
        <w:t>– det gælder eksempelvis torsk, rødspætte og sild, der fanges i Østersøen.</w:t>
      </w:r>
      <w:r w:rsidR="00663140">
        <w:t xml:space="preserve"> </w:t>
      </w:r>
    </w:p>
    <w:p w:rsidR="00DD615E" w:rsidRDefault="00663140" w:rsidP="00E25D35">
      <w:r>
        <w:t xml:space="preserve">Alle havene rundt om de europæiske kyster er delt op i zoner, som kvoterne fastsættes efter. Østersøen er f.eks. delt </w:t>
      </w:r>
      <w:r w:rsidR="005C1308">
        <w:t>op i en østlig og en v</w:t>
      </w:r>
      <w:r w:rsidR="00637B65">
        <w:t>estlig zone</w:t>
      </w:r>
      <w:r>
        <w:t>, og</w:t>
      </w:r>
      <w:r w:rsidR="00167ABB">
        <w:t xml:space="preserve"> der bliver</w:t>
      </w:r>
      <w:r w:rsidR="00637B65">
        <w:t xml:space="preserve"> derfor lavet kvoter for begge zoner. Der er altså en kvote for torsk fanget i den østlige </w:t>
      </w:r>
      <w:r w:rsidR="002B24E8">
        <w:t xml:space="preserve">del af </w:t>
      </w:r>
      <w:r w:rsidR="00637B65">
        <w:t>Østersø</w:t>
      </w:r>
      <w:r w:rsidR="002B24E8">
        <w:t>en</w:t>
      </w:r>
      <w:r w:rsidR="00637B65">
        <w:t xml:space="preserve">, og en kvote for torsk fanget i den vestlige </w:t>
      </w:r>
      <w:r w:rsidR="002B24E8">
        <w:t xml:space="preserve">del af </w:t>
      </w:r>
      <w:r w:rsidR="00637B65">
        <w:t>Østersø</w:t>
      </w:r>
      <w:r w:rsidR="002B24E8">
        <w:t>en</w:t>
      </w:r>
      <w:r w:rsidR="00637B65">
        <w:t>.</w:t>
      </w:r>
    </w:p>
    <w:p w:rsidR="00E25D35" w:rsidRDefault="00E25D35" w:rsidP="00E25D35">
      <w:r>
        <w:t xml:space="preserve">For fiskeri efter torsk i den østlige del af Østersøen foreslår Kommissionen, at kvoten skal være 20 procent </w:t>
      </w:r>
      <w:r w:rsidR="00167ABB">
        <w:t>lavere</w:t>
      </w:r>
      <w:r>
        <w:t>. For torsk fanget i den vestlige del af Østersøen foreslår Kommissionen, at kvoten skal være næsten 35 procent lavere. Det skyldes, at Kommissionen medregner de fisk, der bliver fanget af lyst- og sportsfiskere – såkaldt rekreativt fiskeri.</w:t>
      </w:r>
      <w:r w:rsidR="005C1308">
        <w:t xml:space="preserve"> </w:t>
      </w:r>
      <w:r w:rsidR="002B24E8">
        <w:t>Det har man ikke gjort tidligere, og det er derfor, de mener, kvoten skal være så meget lavere.</w:t>
      </w:r>
    </w:p>
    <w:p w:rsidR="00E25D35" w:rsidRPr="00EF31F2" w:rsidRDefault="00E25D35" w:rsidP="00E25D35">
      <w:r>
        <w:t xml:space="preserve">For rødspætte foreslår Kommissionen en stigning på 18 procent, mens de lægger op til, at der kan fanges 21 procent ekstra sild. </w:t>
      </w:r>
    </w:p>
    <w:tbl>
      <w:tblPr>
        <w:tblStyle w:val="Tabel-Gitter"/>
        <w:tblW w:w="0" w:type="auto"/>
        <w:tblLook w:val="04A0" w:firstRow="1" w:lastRow="0" w:firstColumn="1" w:lastColumn="0" w:noHBand="0" w:noVBand="1"/>
      </w:tblPr>
      <w:tblGrid>
        <w:gridCol w:w="8494"/>
      </w:tblGrid>
      <w:tr w:rsidR="00E25D35" w:rsidTr="00EF31F2">
        <w:tc>
          <w:tcPr>
            <w:tcW w:w="9628" w:type="dxa"/>
          </w:tcPr>
          <w:p w:rsidR="00E25D35" w:rsidRDefault="00EB30CB" w:rsidP="00EF31F2">
            <w:pPr>
              <w:rPr>
                <w:rFonts w:cstheme="minorHAnsi"/>
                <w:b/>
              </w:rPr>
            </w:pPr>
            <w:r>
              <w:rPr>
                <w:rFonts w:cstheme="minorHAnsi"/>
                <w:b/>
              </w:rPr>
              <w:t>REGERINGENS HOLDNING:</w:t>
            </w:r>
          </w:p>
          <w:p w:rsidR="00E25D35" w:rsidRPr="00574014" w:rsidRDefault="00E25D35">
            <w:pPr>
              <w:rPr>
                <w:rFonts w:cstheme="minorHAnsi"/>
              </w:rPr>
            </w:pPr>
            <w:r>
              <w:rPr>
                <w:rFonts w:cstheme="minorHAnsi"/>
              </w:rPr>
              <w:t xml:space="preserve">Regeringen støtter de overordnede principper i EU’s fiskeripolitik.  Regeringen kan støtte Kommissionens forslag for torsk i den østlige Østersø, men er uenig i Kommissionens forslag til torskekvoter for den vestlige Østersø. Man mener, at de to kvoter skal sættes i sammenhæng, så </w:t>
            </w:r>
            <w:r w:rsidR="00F96B2C">
              <w:rPr>
                <w:rFonts w:cstheme="minorHAnsi"/>
              </w:rPr>
              <w:t>landene med kyst til den østlige del af Østersøen bliver tilgodeset mere end de lande, der har kyst til den vestlige del af Østersøen, herunder Danmark.</w:t>
            </w:r>
            <w:r>
              <w:rPr>
                <w:rFonts w:cstheme="minorHAnsi"/>
              </w:rPr>
              <w:t xml:space="preserve"> </w:t>
            </w:r>
            <w:r w:rsidRPr="00B81165">
              <w:rPr>
                <w:rFonts w:cstheme="minorHAnsi"/>
              </w:rPr>
              <w:t>Regeringen mener</w:t>
            </w:r>
            <w:r>
              <w:rPr>
                <w:rFonts w:cstheme="minorHAnsi"/>
              </w:rPr>
              <w:t xml:space="preserve"> desuden</w:t>
            </w:r>
            <w:r w:rsidRPr="00B81165">
              <w:rPr>
                <w:rFonts w:cstheme="minorHAnsi"/>
              </w:rPr>
              <w:t>, at det er urimeligt</w:t>
            </w:r>
            <w:r>
              <w:rPr>
                <w:rFonts w:cstheme="minorHAnsi"/>
              </w:rPr>
              <w:t xml:space="preserve"> at lave fradrag for rekreativt fiskeri. D</w:t>
            </w:r>
            <w:r w:rsidRPr="00B81165">
              <w:rPr>
                <w:rFonts w:cstheme="minorHAnsi"/>
              </w:rPr>
              <w:t xml:space="preserve">et rekreative fiskeri </w:t>
            </w:r>
            <w:r>
              <w:rPr>
                <w:rFonts w:cstheme="minorHAnsi"/>
              </w:rPr>
              <w:t>er ikke</w:t>
            </w:r>
            <w:r w:rsidRPr="00B81165">
              <w:rPr>
                <w:rFonts w:cstheme="minorHAnsi"/>
              </w:rPr>
              <w:t xml:space="preserve"> reguleret i EU’s fælles fiskeripolitik og derfor plejer </w:t>
            </w:r>
            <w:r>
              <w:rPr>
                <w:rFonts w:cstheme="minorHAnsi"/>
              </w:rPr>
              <w:t xml:space="preserve">det ikke </w:t>
            </w:r>
            <w:r w:rsidRPr="00B81165">
              <w:rPr>
                <w:rFonts w:cstheme="minorHAnsi"/>
              </w:rPr>
              <w:t>at blive talt med, når man fastlægger kvoter.</w:t>
            </w:r>
          </w:p>
        </w:tc>
      </w:tr>
    </w:tbl>
    <w:p w:rsidR="00E25D35" w:rsidRDefault="00E25D35" w:rsidP="00E25D35">
      <w:pPr>
        <w:rPr>
          <w:rFonts w:cstheme="minorHAnsi"/>
          <w:b/>
        </w:rPr>
      </w:pPr>
    </w:p>
    <w:p w:rsidR="00F261C1" w:rsidRDefault="00F261C1" w:rsidP="00E25D35">
      <w:pPr>
        <w:rPr>
          <w:rFonts w:cstheme="minorHAnsi"/>
          <w:b/>
        </w:rPr>
      </w:pPr>
    </w:p>
    <w:p w:rsidR="00E25D35" w:rsidRPr="00451C07" w:rsidRDefault="00EB30CB" w:rsidP="00E25D35">
      <w:pPr>
        <w:rPr>
          <w:rFonts w:cstheme="minorHAnsi"/>
          <w:b/>
        </w:rPr>
      </w:pPr>
      <w:r>
        <w:rPr>
          <w:rFonts w:cstheme="minorHAnsi"/>
          <w:b/>
        </w:rPr>
        <w:lastRenderedPageBreak/>
        <w:t>FORHANDLINGSOPLÆGGET</w:t>
      </w:r>
    </w:p>
    <w:p w:rsidR="00E25D35" w:rsidRPr="00451C07" w:rsidRDefault="00E25D35" w:rsidP="00E25D35">
      <w:pPr>
        <w:pStyle w:val="Default"/>
        <w:rPr>
          <w:rFonts w:asciiTheme="minorHAnsi" w:hAnsiTheme="minorHAnsi" w:cstheme="minorHAnsi"/>
          <w:sz w:val="22"/>
          <w:szCs w:val="22"/>
        </w:rPr>
      </w:pPr>
      <w:r w:rsidRPr="00451C07">
        <w:rPr>
          <w:rFonts w:asciiTheme="minorHAnsi" w:hAnsiTheme="minorHAnsi" w:cstheme="minorHAnsi"/>
          <w:sz w:val="22"/>
          <w:szCs w:val="22"/>
        </w:rPr>
        <w:t>Regeringens udgangspunkt er, at man fortsat skal sikre et bæredygtigt fiskeri baseret på de overordnede principper i fiskeripolitikken. Der er en positiv udvikling for sild, laks og rødspætte, men det ser sværere ud for de to torskebestande. For torsk i den østlige Østersø kan regeringen støtte Kommissionens forslag, men man er nødt til at se det i sammenhæng med torsk i den vestlige del af Østersøen</w:t>
      </w:r>
      <w:r>
        <w:rPr>
          <w:rFonts w:asciiTheme="minorHAnsi" w:hAnsiTheme="minorHAnsi" w:cstheme="minorHAnsi"/>
          <w:sz w:val="22"/>
          <w:szCs w:val="22"/>
        </w:rPr>
        <w:t>. Med</w:t>
      </w:r>
      <w:r w:rsidRPr="00451C07">
        <w:rPr>
          <w:rFonts w:asciiTheme="minorHAnsi" w:hAnsiTheme="minorHAnsi" w:cstheme="minorHAnsi"/>
          <w:sz w:val="22"/>
          <w:szCs w:val="22"/>
        </w:rPr>
        <w:t xml:space="preserve"> andre ord bør der ikke ændres på kvotefordelingen mellem medlemslandene.</w:t>
      </w:r>
      <w:r w:rsidRPr="00451C07">
        <w:rPr>
          <w:rFonts w:asciiTheme="minorHAnsi" w:hAnsiTheme="minorHAnsi" w:cstheme="minorHAnsi"/>
          <w:sz w:val="22"/>
          <w:szCs w:val="22"/>
        </w:rPr>
        <w:br/>
      </w:r>
    </w:p>
    <w:p w:rsidR="00E25D35" w:rsidRPr="00451C07" w:rsidRDefault="00E25D35" w:rsidP="00E25D35">
      <w:pPr>
        <w:pStyle w:val="Default"/>
        <w:rPr>
          <w:rFonts w:asciiTheme="minorHAnsi" w:hAnsiTheme="minorHAnsi" w:cstheme="minorHAnsi"/>
          <w:sz w:val="22"/>
          <w:szCs w:val="22"/>
        </w:rPr>
      </w:pPr>
      <w:r w:rsidRPr="00451C07">
        <w:rPr>
          <w:rFonts w:asciiTheme="minorHAnsi" w:hAnsiTheme="minorHAnsi" w:cstheme="minorHAnsi"/>
          <w:sz w:val="22"/>
          <w:szCs w:val="22"/>
        </w:rPr>
        <w:t>Der kan blive brug for yderligere tiltag i forhold til den vestlige torsk. Men Kommissionens måde at indregne rekreativt fiskeri i forhold til kvoten er ikke rigtig, så der er ikke grundlag for så markant en reduktion for den vestlige torsk.</w:t>
      </w:r>
    </w:p>
    <w:p w:rsidR="00E25D35" w:rsidRPr="00451C07" w:rsidRDefault="00E25D35" w:rsidP="00E25D35">
      <w:pPr>
        <w:pStyle w:val="Default"/>
        <w:rPr>
          <w:rFonts w:asciiTheme="minorHAnsi" w:hAnsiTheme="minorHAnsi" w:cstheme="minorHAnsi"/>
          <w:sz w:val="22"/>
          <w:szCs w:val="22"/>
        </w:rPr>
      </w:pPr>
    </w:p>
    <w:p w:rsidR="00E25D35" w:rsidRPr="00451C07" w:rsidRDefault="00E25D35" w:rsidP="00E25D35">
      <w:pPr>
        <w:pStyle w:val="Default"/>
        <w:rPr>
          <w:rFonts w:asciiTheme="minorHAnsi" w:hAnsiTheme="minorHAnsi" w:cstheme="minorHAnsi"/>
          <w:sz w:val="22"/>
          <w:szCs w:val="22"/>
        </w:rPr>
      </w:pPr>
      <w:r w:rsidRPr="00451C07">
        <w:rPr>
          <w:rFonts w:asciiTheme="minorHAnsi" w:hAnsiTheme="minorHAnsi" w:cstheme="minorHAnsi"/>
          <w:sz w:val="22"/>
          <w:szCs w:val="22"/>
        </w:rPr>
        <w:t xml:space="preserve">Derfor er regeringens forhandlingsoplæg, at man fra dansk side tilslutter sig forslaget eller et kompromisforslag, der kan opnås enighed om, </w:t>
      </w:r>
      <w:r>
        <w:rPr>
          <w:rFonts w:asciiTheme="minorHAnsi" w:hAnsiTheme="minorHAnsi" w:cstheme="minorHAnsi"/>
          <w:sz w:val="22"/>
          <w:szCs w:val="22"/>
        </w:rPr>
        <w:t>hvor regeringen vil arbejde for, at:</w:t>
      </w:r>
      <w:r w:rsidRPr="00451C07">
        <w:rPr>
          <w:rFonts w:asciiTheme="minorHAnsi" w:hAnsiTheme="minorHAnsi" w:cstheme="minorHAnsi"/>
          <w:sz w:val="22"/>
          <w:szCs w:val="22"/>
        </w:rPr>
        <w:t xml:space="preserve"> </w:t>
      </w:r>
      <w:r w:rsidRPr="00451C07">
        <w:rPr>
          <w:rFonts w:asciiTheme="minorHAnsi" w:hAnsiTheme="minorHAnsi" w:cstheme="minorHAnsi"/>
          <w:sz w:val="22"/>
          <w:szCs w:val="22"/>
        </w:rPr>
        <w:br/>
      </w:r>
    </w:p>
    <w:p w:rsidR="00E25D35" w:rsidRPr="00E25D35" w:rsidRDefault="00E25D35" w:rsidP="00E25D35">
      <w:pPr>
        <w:pStyle w:val="Default"/>
        <w:numPr>
          <w:ilvl w:val="0"/>
          <w:numId w:val="10"/>
        </w:numPr>
        <w:spacing w:after="63"/>
        <w:rPr>
          <w:rFonts w:asciiTheme="minorHAnsi" w:hAnsiTheme="minorHAnsi" w:cstheme="minorHAnsi"/>
          <w:sz w:val="22"/>
          <w:szCs w:val="22"/>
        </w:rPr>
      </w:pPr>
      <w:r>
        <w:rPr>
          <w:rFonts w:asciiTheme="minorHAnsi" w:hAnsiTheme="minorHAnsi" w:cstheme="minorHAnsi"/>
          <w:sz w:val="22"/>
          <w:szCs w:val="22"/>
        </w:rPr>
        <w:t>K</w:t>
      </w:r>
      <w:r w:rsidRPr="00451C07">
        <w:rPr>
          <w:rFonts w:asciiTheme="minorHAnsi" w:hAnsiTheme="minorHAnsi" w:cstheme="minorHAnsi"/>
          <w:sz w:val="22"/>
          <w:szCs w:val="22"/>
        </w:rPr>
        <w:t>voterne for 2016 som generelt princip fastsættes på grundlag af den videnskabelige rådgivning</w:t>
      </w:r>
      <w:r w:rsidRPr="00E25D35">
        <w:rPr>
          <w:rFonts w:asciiTheme="minorHAnsi" w:hAnsiTheme="minorHAnsi" w:cstheme="minorHAnsi"/>
          <w:sz w:val="22"/>
          <w:szCs w:val="22"/>
        </w:rPr>
        <w:t xml:space="preserve">, målsætningen om maksimalt bæredygtigt udbytte (MSY) og forvaltningsplaner </w:t>
      </w:r>
      <w:r w:rsidRPr="00E25D35">
        <w:rPr>
          <w:rFonts w:asciiTheme="minorHAnsi" w:hAnsiTheme="minorHAnsi" w:cstheme="minorHAnsi"/>
          <w:sz w:val="22"/>
          <w:szCs w:val="22"/>
        </w:rPr>
        <w:br/>
      </w:r>
    </w:p>
    <w:p w:rsidR="00E25D35" w:rsidRPr="00E25D35" w:rsidRDefault="00E25D35" w:rsidP="00E25D35">
      <w:pPr>
        <w:pStyle w:val="Default"/>
        <w:numPr>
          <w:ilvl w:val="0"/>
          <w:numId w:val="10"/>
        </w:numPr>
        <w:rPr>
          <w:rFonts w:asciiTheme="minorHAnsi" w:hAnsiTheme="minorHAnsi" w:cstheme="minorHAnsi"/>
          <w:sz w:val="22"/>
          <w:szCs w:val="22"/>
        </w:rPr>
      </w:pPr>
      <w:r w:rsidRPr="00E25D35">
        <w:rPr>
          <w:rFonts w:asciiTheme="minorHAnsi" w:hAnsiTheme="minorHAnsi" w:cstheme="minorHAnsi"/>
          <w:sz w:val="22"/>
          <w:szCs w:val="22"/>
        </w:rPr>
        <w:t>TAC for torsk i henholdsvis den østlige og vestlige Østersø fastsættes efter en ensartet metode, og at der ikke forskelsbehandles i, hvor meget der må fiskes i de to områder</w:t>
      </w:r>
    </w:p>
    <w:p w:rsidR="00E25D35" w:rsidRPr="00E25D35" w:rsidRDefault="00E25D35" w:rsidP="00E25D35">
      <w:pPr>
        <w:pStyle w:val="Default"/>
        <w:ind w:left="405"/>
        <w:rPr>
          <w:sz w:val="22"/>
          <w:szCs w:val="22"/>
        </w:rPr>
      </w:pPr>
    </w:p>
    <w:p w:rsidR="00E25D35" w:rsidRPr="00451C07" w:rsidRDefault="00EB30CB" w:rsidP="00E25D35">
      <w:pPr>
        <w:rPr>
          <w:rFonts w:cstheme="minorHAnsi"/>
          <w:b/>
        </w:rPr>
      </w:pPr>
      <w:r>
        <w:rPr>
          <w:rFonts w:cstheme="minorHAnsi"/>
          <w:b/>
        </w:rPr>
        <w:br/>
        <w:t>PARTIERNES HOLDNING</w:t>
      </w:r>
    </w:p>
    <w:p w:rsidR="00E25D35" w:rsidRPr="00451C07" w:rsidRDefault="00E25D35" w:rsidP="00E25D35">
      <w:pPr>
        <w:autoSpaceDE w:val="0"/>
        <w:autoSpaceDN w:val="0"/>
        <w:adjustRightInd w:val="0"/>
        <w:spacing w:after="0" w:line="240" w:lineRule="auto"/>
        <w:rPr>
          <w:rFonts w:ascii="NimbusSanL-Regu" w:hAnsi="NimbusSanL-Regu" w:cs="NimbusSanL-Regu"/>
        </w:rPr>
      </w:pPr>
      <w:r w:rsidRPr="00451C07">
        <w:rPr>
          <w:rFonts w:cstheme="minorHAnsi"/>
          <w:b/>
        </w:rPr>
        <w:t xml:space="preserve">Dansk Folkeparti: </w:t>
      </w:r>
      <w:r>
        <w:t>F</w:t>
      </w:r>
      <w:r w:rsidRPr="00451C07">
        <w:t>inder det af afgørende betydning ikke at tage det rekreative fiskeri ind i kvotefastsættelsen. Det er useriøst, for ingen aner, hvor meget der fiskes rekreativt. Dansk Folkeparti kan støtte</w:t>
      </w:r>
      <w:r>
        <w:t xml:space="preserve"> regeringens </w:t>
      </w:r>
      <w:r w:rsidRPr="00451C07">
        <w:t>forhandlingsoplæg.</w:t>
      </w:r>
      <w:r w:rsidRPr="00451C07">
        <w:rPr>
          <w:rFonts w:ascii="NimbusSanL-Regu" w:hAnsi="NimbusSanL-Regu" w:cs="NimbusSanL-Regu"/>
        </w:rPr>
        <w:br/>
      </w:r>
    </w:p>
    <w:p w:rsidR="00E25D35" w:rsidRPr="00451C07" w:rsidRDefault="00E25D35" w:rsidP="00E25D35">
      <w:pPr>
        <w:autoSpaceDE w:val="0"/>
        <w:autoSpaceDN w:val="0"/>
        <w:adjustRightInd w:val="0"/>
        <w:rPr>
          <w:rFonts w:cstheme="minorHAnsi"/>
        </w:rPr>
      </w:pPr>
      <w:r w:rsidRPr="00451C07">
        <w:rPr>
          <w:rFonts w:cstheme="minorHAnsi"/>
          <w:b/>
        </w:rPr>
        <w:t>Enhedslisten:</w:t>
      </w:r>
      <w:r w:rsidRPr="00451C07">
        <w:rPr>
          <w:rFonts w:cstheme="minorHAnsi"/>
        </w:rPr>
        <w:t xml:space="preserve"> </w:t>
      </w:r>
      <w:r>
        <w:t>Bed</w:t>
      </w:r>
      <w:r w:rsidR="00D00452">
        <w:t>er</w:t>
      </w:r>
      <w:r>
        <w:t xml:space="preserve"> </w:t>
      </w:r>
      <w:r w:rsidRPr="00451C07">
        <w:t>ministeren bekræfte, at alle kvoter er fastlagt på baggrund af anbefalingerne fra Det Internationale Havforskningsråd.</w:t>
      </w:r>
      <w:r>
        <w:t xml:space="preserve"> </w:t>
      </w:r>
      <w:r w:rsidRPr="00451C07">
        <w:t xml:space="preserve">Enhedslisten </w:t>
      </w:r>
      <w:r w:rsidRPr="00574014">
        <w:rPr>
          <w:color w:val="000000" w:themeColor="text1"/>
        </w:rPr>
        <w:t xml:space="preserve">kan ikke støtte </w:t>
      </w:r>
      <w:r>
        <w:rPr>
          <w:color w:val="000000" w:themeColor="text1"/>
        </w:rPr>
        <w:t xml:space="preserve">regeringens </w:t>
      </w:r>
      <w:r w:rsidRPr="00574014">
        <w:rPr>
          <w:color w:val="000000" w:themeColor="text1"/>
        </w:rPr>
        <w:t>forhandlingsoplæg.</w:t>
      </w:r>
    </w:p>
    <w:p w:rsidR="00E25D35" w:rsidRDefault="00E25D35" w:rsidP="00E25D35">
      <w:r w:rsidRPr="00EF31F2">
        <w:rPr>
          <w:rFonts w:cstheme="minorHAnsi"/>
          <w:b/>
        </w:rPr>
        <w:t>Radikale Venstre</w:t>
      </w:r>
      <w:r w:rsidRPr="00451C07">
        <w:rPr>
          <w:rFonts w:cstheme="minorHAnsi"/>
        </w:rPr>
        <w:t xml:space="preserve">: </w:t>
      </w:r>
      <w:r>
        <w:rPr>
          <w:rFonts w:cstheme="minorHAnsi"/>
        </w:rPr>
        <w:t>E</w:t>
      </w:r>
      <w:r w:rsidRPr="00451C07">
        <w:t xml:space="preserve">r enig med Enhedslisten i, at bestandene selvfølgelig bør forvaltes i henhold til anbefalinger fra Det Internationale Havforskningsråd. </w:t>
      </w:r>
      <w:r>
        <w:t>De spørger, om det rekreative fiskeri fylder så meget, at man er nødt til at begrænse den kommercielle fangst, og om hvorfor det er useriøst at prøve at medregne det rekreative fiskeri.</w:t>
      </w:r>
    </w:p>
    <w:p w:rsidR="00E25D35" w:rsidRDefault="00E25D35" w:rsidP="00E25D35">
      <w:pPr>
        <w:autoSpaceDE w:val="0"/>
        <w:autoSpaceDN w:val="0"/>
        <w:adjustRightInd w:val="0"/>
      </w:pPr>
      <w:r>
        <w:t>Radikale Venstre støtte regeringens forhandlingsoplæg med den betingelse, at den samlede belastning af bestandene – inklusive det rekreative fiskeri – er bæredygtig.</w:t>
      </w:r>
    </w:p>
    <w:p w:rsidR="00E25D35" w:rsidRPr="00451C07" w:rsidRDefault="00E25D35" w:rsidP="00E25D35">
      <w:pPr>
        <w:rPr>
          <w:rFonts w:cstheme="minorHAnsi"/>
        </w:rPr>
      </w:pPr>
      <w:r w:rsidRPr="00451C07">
        <w:rPr>
          <w:rFonts w:cstheme="minorHAnsi"/>
          <w:b/>
        </w:rPr>
        <w:t>Alternativet:</w:t>
      </w:r>
      <w:r w:rsidRPr="00451C07">
        <w:rPr>
          <w:rFonts w:cstheme="minorHAnsi"/>
        </w:rPr>
        <w:t xml:space="preserve"> </w:t>
      </w:r>
      <w:r>
        <w:rPr>
          <w:rFonts w:cstheme="minorHAnsi"/>
        </w:rPr>
        <w:t>Er</w:t>
      </w:r>
      <w:r w:rsidRPr="00451C07">
        <w:rPr>
          <w:rFonts w:cstheme="minorHAnsi"/>
        </w:rPr>
        <w:t xml:space="preserve"> enig </w:t>
      </w:r>
      <w:r w:rsidRPr="00451C07">
        <w:t xml:space="preserve">med Enhedslisten og Det Radikale Venstre i, at det er vigtigt at basere vurderingerne på et videnskabeligt grundlag for den samlede bestand. Man skal lægge sig på et niveau under tærsklen for FMSY (Fish </w:t>
      </w:r>
      <w:proofErr w:type="spellStart"/>
      <w:r w:rsidRPr="00451C07">
        <w:t>Mortality</w:t>
      </w:r>
      <w:proofErr w:type="spellEnd"/>
      <w:r w:rsidRPr="00451C07">
        <w:t xml:space="preserve"> </w:t>
      </w:r>
      <w:proofErr w:type="spellStart"/>
      <w:r w:rsidRPr="00451C07">
        <w:t>Sustainable</w:t>
      </w:r>
      <w:proofErr w:type="spellEnd"/>
      <w:r w:rsidRPr="00451C07">
        <w:t xml:space="preserve"> </w:t>
      </w:r>
      <w:proofErr w:type="spellStart"/>
      <w:r w:rsidRPr="00451C07">
        <w:t>Yield</w:t>
      </w:r>
      <w:proofErr w:type="spellEnd"/>
      <w:r w:rsidRPr="00451C07">
        <w:t>). Det er ikke et mål, men en grænse, man bør holde sig under.</w:t>
      </w:r>
    </w:p>
    <w:p w:rsidR="00E25D35" w:rsidRPr="00451C07" w:rsidRDefault="00E25D35" w:rsidP="00E25D35">
      <w:pPr>
        <w:autoSpaceDE w:val="0"/>
        <w:autoSpaceDN w:val="0"/>
        <w:adjustRightInd w:val="0"/>
      </w:pPr>
      <w:r w:rsidRPr="00451C07">
        <w:rPr>
          <w:rFonts w:cstheme="minorHAnsi"/>
          <w:b/>
        </w:rPr>
        <w:t>Socialistisk Folkeparti:</w:t>
      </w:r>
      <w:r w:rsidRPr="00451C07">
        <w:rPr>
          <w:rFonts w:cstheme="minorHAnsi"/>
        </w:rPr>
        <w:t xml:space="preserve"> </w:t>
      </w:r>
      <w:r w:rsidRPr="00574014">
        <w:rPr>
          <w:color w:val="000000" w:themeColor="text1"/>
        </w:rPr>
        <w:t xml:space="preserve">Kunne ikke støtte forhandlingsoplægget, men var </w:t>
      </w:r>
      <w:r w:rsidRPr="00451C07">
        <w:t>ikke med på mødet</w:t>
      </w:r>
    </w:p>
    <w:p w:rsidR="00E25D35" w:rsidRPr="00451C07" w:rsidRDefault="00E25D35" w:rsidP="00E25D35">
      <w:pPr>
        <w:autoSpaceDE w:val="0"/>
        <w:autoSpaceDN w:val="0"/>
        <w:adjustRightInd w:val="0"/>
        <w:rPr>
          <w:rFonts w:cstheme="minorHAnsi"/>
        </w:rPr>
      </w:pPr>
      <w:r w:rsidRPr="00EF31F2">
        <w:rPr>
          <w:b/>
        </w:rPr>
        <w:t>Liberal Alliance:</w:t>
      </w:r>
      <w:r w:rsidRPr="00451C07">
        <w:t xml:space="preserve"> </w:t>
      </w:r>
      <w:r>
        <w:t>S</w:t>
      </w:r>
      <w:r w:rsidRPr="00451C07">
        <w:t xml:space="preserve">ynes også, at det er useriøst at medtage det rekreative fiskeri. Samlet set kan Liberal Alliance </w:t>
      </w:r>
      <w:r w:rsidRPr="00574014">
        <w:rPr>
          <w:color w:val="000000" w:themeColor="text1"/>
        </w:rPr>
        <w:t xml:space="preserve">dog ikke støtte regeringens </w:t>
      </w:r>
      <w:r w:rsidRPr="00451C07">
        <w:t>mandat, fordi der er lagt op til for store reduktioner i torskefiskeriet i den østlige og den vestlige del af Østersøen.</w:t>
      </w:r>
    </w:p>
    <w:p w:rsidR="00E25D35" w:rsidRPr="00451C07" w:rsidRDefault="00E25D35" w:rsidP="00E25D35">
      <w:pPr>
        <w:rPr>
          <w:b/>
        </w:rPr>
      </w:pPr>
      <w:r w:rsidRPr="00451C07">
        <w:rPr>
          <w:rFonts w:cstheme="minorHAnsi"/>
          <w:b/>
        </w:rPr>
        <w:lastRenderedPageBreak/>
        <w:t>Socialdemokratiet:</w:t>
      </w:r>
      <w:r w:rsidRPr="00451C07">
        <w:rPr>
          <w:rFonts w:cstheme="minorHAnsi"/>
        </w:rPr>
        <w:t xml:space="preserve"> </w:t>
      </w:r>
      <w:r>
        <w:t>H</w:t>
      </w:r>
      <w:r w:rsidRPr="00451C07">
        <w:t xml:space="preserve">ar forstået på regeringen, at kvoterne skal være videnskabeligt baseret, og at datagrundlaget for det rekreative fiskeri ikke er godt nok. Det lyder fornuftigt, og Socialdemokratiet bakker op om </w:t>
      </w:r>
      <w:r>
        <w:t xml:space="preserve">regeringens </w:t>
      </w:r>
      <w:r w:rsidRPr="00451C07">
        <w:t>forhandlingsoplæg.</w:t>
      </w:r>
    </w:p>
    <w:p w:rsidR="00E25D35" w:rsidRPr="00451C07" w:rsidRDefault="00803F77" w:rsidP="00E25D35">
      <w:pPr>
        <w:rPr>
          <w:b/>
        </w:rPr>
      </w:pPr>
      <w:r>
        <w:rPr>
          <w:b/>
        </w:rPr>
        <w:t>RESPONS</w:t>
      </w:r>
      <w:r w:rsidR="00E25D35" w:rsidRPr="00451C07">
        <w:rPr>
          <w:b/>
        </w:rPr>
        <w:t>:</w:t>
      </w:r>
    </w:p>
    <w:p w:rsidR="00E25D35" w:rsidRDefault="00E25D35" w:rsidP="00E25D35">
      <w:r>
        <w:rPr>
          <w:rFonts w:cstheme="minorHAnsi"/>
          <w:b/>
        </w:rPr>
        <w:t>Miljø</w:t>
      </w:r>
      <w:r w:rsidRPr="00451C07">
        <w:rPr>
          <w:b/>
          <w:bCs/>
        </w:rPr>
        <w:t xml:space="preserve">- og fødevareministeren </w:t>
      </w:r>
      <w:r>
        <w:rPr>
          <w:bCs/>
        </w:rPr>
        <w:t>slår til at starte med fast, udgangspunktet for kvoterne altid er den videnskabelige rådgivning, målsætningen om maksimalt bæredygtigt udbytte og forvaltningsplanerne.</w:t>
      </w:r>
      <w:r w:rsidRPr="00451C07">
        <w:t xml:space="preserve"> Derfra er det lidt mere kompliceret – i hvert fald, når det gælder Østersøen. Torskefiskeriet i den østlige Østersø er såkaldt datafattigt, det vil sige, at man ikke har nok viden om bestandene der. Rådet og Kommissionen har en særlig vurderingsmetode, der gælder for de datafattige områder. I de tilfælde kan man derfor ikke sige, at fiskeriet er baseret på rådgivning fra Det Internationale Havforskningsråd. Derimod gør principperne fra Det Internationale Havforskningsråd sig gældende for torsk i den vestlige del af Østersøen, men beregningerne medtager også et aspekt fra den metode, som man kender fra den østlige del af Østersøen.</w:t>
      </w:r>
    </w:p>
    <w:p w:rsidR="00E25D35" w:rsidRPr="00451C07" w:rsidRDefault="00E25D35" w:rsidP="00E25D35">
      <w:pPr>
        <w:rPr>
          <w:rFonts w:cstheme="minorHAnsi"/>
          <w:b/>
        </w:rPr>
      </w:pPr>
      <w:r>
        <w:t>Helt overordnet vil landene gerne have en balance i fiskeriet mellem fiskebestandene og fiskeindustrien, og de vil gerne tage hensyn til, at fiskene ikke holder sig inden for et afgrænset territorium, men svømmer rundt over hele Østersøen.</w:t>
      </w:r>
    </w:p>
    <w:p w:rsidR="00E25D35" w:rsidRPr="00451C07" w:rsidRDefault="00803F77" w:rsidP="00E25D35">
      <w:pPr>
        <w:rPr>
          <w:b/>
        </w:rPr>
      </w:pPr>
      <w:r>
        <w:rPr>
          <w:b/>
        </w:rPr>
        <w:t>RESULTAT</w:t>
      </w:r>
    </w:p>
    <w:p w:rsidR="00E25D35" w:rsidRPr="00451C07" w:rsidRDefault="00E25D35" w:rsidP="00E25D35">
      <w:r w:rsidRPr="00451C07">
        <w:t>Regeringen fik sit forhandlingsoplæg, da det kun var Enhedslisten, Liberal Alliance og Socialistisk Folkeparti, der ytrede sig imod det. Socialistisk Folkeparti var ikke til stede på mødet, men havde på forhånd meddelt, at de var imod forhandlingsoplægget.</w:t>
      </w:r>
    </w:p>
    <w:p w:rsidR="00E25D35" w:rsidRPr="00451C07" w:rsidRDefault="00E25D35" w:rsidP="00E25D35">
      <w:pPr>
        <w:pStyle w:val="Listeafsnit"/>
        <w:numPr>
          <w:ilvl w:val="0"/>
          <w:numId w:val="9"/>
        </w:numPr>
      </w:pPr>
      <w:r w:rsidRPr="00451C07">
        <w:t xml:space="preserve">Mandater der ikke er imod: </w:t>
      </w:r>
    </w:p>
    <w:p w:rsidR="00E25D35" w:rsidRPr="00451C07" w:rsidRDefault="00E25D35" w:rsidP="00E25D35">
      <w:pPr>
        <w:pStyle w:val="Listeafsnit"/>
        <w:numPr>
          <w:ilvl w:val="0"/>
          <w:numId w:val="9"/>
        </w:numPr>
      </w:pPr>
      <w:r w:rsidRPr="00451C07">
        <w:t>Mandater imod: 34</w:t>
      </w:r>
      <w:r w:rsidR="00B96CB4">
        <w:t>.</w:t>
      </w:r>
    </w:p>
    <w:p w:rsidR="00EC4928" w:rsidRDefault="00EC4928" w:rsidP="00EC4928">
      <w:bookmarkStart w:id="0" w:name="_GoBack"/>
      <w:bookmarkEnd w:id="0"/>
    </w:p>
    <w:sectPr w:rsidR="00EC4928" w:rsidSect="00001B6B">
      <w:headerReference w:type="default" r:id="rId9"/>
      <w:footerReference w:type="default" r:id="rId10"/>
      <w:footerReference w:type="first" r:id="rId11"/>
      <w:pgSz w:w="11906" w:h="16838" w:code="9"/>
      <w:pgMar w:top="2257" w:right="1701" w:bottom="403" w:left="1701" w:header="567" w:footer="782"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D35" w:rsidRDefault="00E25D35">
      <w:pPr>
        <w:spacing w:after="0" w:line="240" w:lineRule="auto"/>
      </w:pPr>
      <w:r>
        <w:separator/>
      </w:r>
    </w:p>
  </w:endnote>
  <w:endnote w:type="continuationSeparator" w:id="0">
    <w:p w:rsidR="00E25D35" w:rsidRDefault="00E25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mbusSan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6A7" w:rsidRDefault="00E966A7" w:rsidP="00E821D9">
    <w:pPr>
      <w:pStyle w:val="Sidefod"/>
      <w:tabs>
        <w:tab w:val="clear" w:pos="9638"/>
      </w:tabs>
      <w:ind w:right="-1"/>
      <w:jc w:val="right"/>
    </w:pPr>
    <w:r>
      <w:rPr>
        <w:rFonts w:ascii="Calibri" w:eastAsia="Calibri" w:hAnsi="Calibri" w:cs="Calibri"/>
        <w:noProof/>
        <w:color w:val="000000"/>
        <w:lang w:eastAsia="da-DK"/>
      </w:rPr>
      <mc:AlternateContent>
        <mc:Choice Requires="wpg">
          <w:drawing>
            <wp:anchor distT="0" distB="0" distL="114300" distR="114300" simplePos="0" relativeHeight="251676672" behindDoc="0" locked="0" layoutInCell="1" allowOverlap="1" wp14:anchorId="06200713" wp14:editId="15BC1595">
              <wp:simplePos x="0" y="0"/>
              <wp:positionH relativeFrom="margin">
                <wp:align>center</wp:align>
              </wp:positionH>
              <wp:positionV relativeFrom="page">
                <wp:posOffset>9994653</wp:posOffset>
              </wp:positionV>
              <wp:extent cx="5375999" cy="12700"/>
              <wp:effectExtent l="0" t="0" r="15240" b="6350"/>
              <wp:wrapSquare wrapText="bothSides"/>
              <wp:docPr id="10" name="Group 3315"/>
              <wp:cNvGraphicFramePr/>
              <a:graphic xmlns:a="http://schemas.openxmlformats.org/drawingml/2006/main">
                <a:graphicData uri="http://schemas.microsoft.com/office/word/2010/wordprocessingGroup">
                  <wpg:wgp>
                    <wpg:cNvGrpSpPr/>
                    <wpg:grpSpPr>
                      <a:xfrm>
                        <a:off x="0" y="0"/>
                        <a:ext cx="5375999" cy="12700"/>
                        <a:chOff x="0" y="0"/>
                        <a:chExt cx="5375999" cy="12700"/>
                      </a:xfrm>
                    </wpg:grpSpPr>
                    <wps:wsp>
                      <wps:cNvPr id="11" name="Shape 3316"/>
                      <wps:cNvSpPr/>
                      <wps:spPr>
                        <a:xfrm>
                          <a:off x="0" y="0"/>
                          <a:ext cx="5375999" cy="0"/>
                        </a:xfrm>
                        <a:custGeom>
                          <a:avLst/>
                          <a:gdLst/>
                          <a:ahLst/>
                          <a:cxnLst/>
                          <a:rect l="0" t="0" r="0" b="0"/>
                          <a:pathLst>
                            <a:path w="5375999">
                              <a:moveTo>
                                <a:pt x="0" y="0"/>
                              </a:moveTo>
                              <a:lnTo>
                                <a:pt x="5375999" y="0"/>
                              </a:lnTo>
                            </a:path>
                          </a:pathLst>
                        </a:custGeom>
                        <a:ln w="12700" cap="flat">
                          <a:solidFill>
                            <a:srgbClr val="E6433C"/>
                          </a:solidFill>
                          <a:miter lim="100000"/>
                        </a:ln>
                      </wps:spPr>
                      <wps:style>
                        <a:lnRef idx="1">
                          <a:srgbClr val="1BAAC6"/>
                        </a:lnRef>
                        <a:fillRef idx="0">
                          <a:srgbClr val="000000">
                            <a:alpha val="0"/>
                          </a:srgbClr>
                        </a:fillRef>
                        <a:effectRef idx="0">
                          <a:scrgbClr r="0" g="0" b="0"/>
                        </a:effectRef>
                        <a:fontRef idx="none"/>
                      </wps:style>
                      <wps:bodyPr/>
                    </wps:wsp>
                  </wpg:wgp>
                </a:graphicData>
              </a:graphic>
            </wp:anchor>
          </w:drawing>
        </mc:Choice>
        <mc:Fallback>
          <w:pict>
            <v:group w14:anchorId="66FD85FC" id="Group 3315" o:spid="_x0000_s1026" style="position:absolute;margin-left:0;margin-top:787pt;width:423.3pt;height:1pt;z-index:251676672;mso-position-horizontal:center;mso-position-horizontal-relative:margin;mso-position-vertical-relative:page" coordsize="537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">
              <v:shape id="Shape 3316" o:spid="_x0000_s1027" style="position:absolute;width:53759;height:0;visibility:visible;mso-wrap-style:square;v-text-anchor:top" coordsize="5375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QaWsEA&#10;AADbAAAADwAAAGRycy9kb3ducmV2LnhtbERPTWvCQBC9F/wPywje6iaVthJdRQOB3kptQI9jdkxC&#10;srNhdxvTf98tFHqbx/uc7X4yvRjJ+daygnSZgCCurG65VlB+Fo9rED4ga+wtk4Jv8rDfzR62mGl7&#10;5w8aT6EWMYR9hgqaEIZMSl81ZNAv7UAcuZt1BkOErpba4T2Gm14+JcmLNNhybGhwoLyhqjt9GQWr&#10;d5N37nrJ7ajPx6J87uxrmSi1mE+HDYhAU/gX/7nfdJyfwu8v8QC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EGlrBAAAA2wAAAA8AAAAAAAAAAAAAAAAAmAIAAGRycy9kb3du&#10;cmV2LnhtbFBLBQYAAAAABAAEAPUAAACGAwAAAAA=&#10;" path="m,l5375999,e" filled="f" strokecolor="#e6433c" strokeweight="1pt">
                <v:stroke miterlimit="1" joinstyle="miter"/>
                <v:path arrowok="t" textboxrect="0,0,5375999,0"/>
              </v:shape>
              <w10:wrap type="square" anchorx="margin" anchory="page"/>
            </v:group>
          </w:pict>
        </mc:Fallback>
      </mc:AlternateContent>
    </w:r>
    <w:r>
      <w:t xml:space="preserve">SIDE </w:t>
    </w:r>
    <w:r>
      <w:fldChar w:fldCharType="begin"/>
    </w:r>
    <w:r>
      <w:instrText>PAGE   \* MERGEFORMAT</w:instrText>
    </w:r>
    <w:r>
      <w:fldChar w:fldCharType="separate"/>
    </w:r>
    <w:r w:rsidR="00492120">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BC7" w:rsidRDefault="00E41BC7">
    <w:pPr>
      <w:spacing w:after="0" w:line="259" w:lineRule="auto"/>
      <w:ind w:right="1163"/>
      <w:jc w:val="right"/>
    </w:pPr>
    <w:r>
      <w:rPr>
        <w:rFonts w:ascii="Calibri" w:eastAsia="Calibri" w:hAnsi="Calibri" w:cs="Calibri"/>
        <w:noProof/>
        <w:color w:val="000000"/>
        <w:lang w:eastAsia="da-DK"/>
      </w:rPr>
      <mc:AlternateContent>
        <mc:Choice Requires="wpg">
          <w:drawing>
            <wp:anchor distT="0" distB="0" distL="114300" distR="114300" simplePos="0" relativeHeight="251670528" behindDoc="0" locked="0" layoutInCell="1" allowOverlap="1" wp14:anchorId="02C4B777" wp14:editId="4FBF1504">
              <wp:simplePos x="0" y="0"/>
              <wp:positionH relativeFrom="page">
                <wp:posOffset>1079999</wp:posOffset>
              </wp:positionH>
              <wp:positionV relativeFrom="page">
                <wp:posOffset>9984353</wp:posOffset>
              </wp:positionV>
              <wp:extent cx="5375999" cy="12700"/>
              <wp:effectExtent l="0" t="0" r="15240" b="6350"/>
              <wp:wrapSquare wrapText="bothSides"/>
              <wp:docPr id="4" name="Group 3315"/>
              <wp:cNvGraphicFramePr/>
              <a:graphic xmlns:a="http://schemas.openxmlformats.org/drawingml/2006/main">
                <a:graphicData uri="http://schemas.microsoft.com/office/word/2010/wordprocessingGroup">
                  <wpg:wgp>
                    <wpg:cNvGrpSpPr/>
                    <wpg:grpSpPr>
                      <a:xfrm>
                        <a:off x="0" y="0"/>
                        <a:ext cx="5375999" cy="12700"/>
                        <a:chOff x="0" y="0"/>
                        <a:chExt cx="5375999" cy="12700"/>
                      </a:xfrm>
                    </wpg:grpSpPr>
                    <wps:wsp>
                      <wps:cNvPr id="12" name="Shape 3316"/>
                      <wps:cNvSpPr/>
                      <wps:spPr>
                        <a:xfrm>
                          <a:off x="0" y="0"/>
                          <a:ext cx="5375999" cy="0"/>
                        </a:xfrm>
                        <a:custGeom>
                          <a:avLst/>
                          <a:gdLst/>
                          <a:ahLst/>
                          <a:cxnLst/>
                          <a:rect l="0" t="0" r="0" b="0"/>
                          <a:pathLst>
                            <a:path w="5375999">
                              <a:moveTo>
                                <a:pt x="0" y="0"/>
                              </a:moveTo>
                              <a:lnTo>
                                <a:pt x="5375999" y="0"/>
                              </a:lnTo>
                            </a:path>
                          </a:pathLst>
                        </a:custGeom>
                        <a:ln w="12700" cap="flat">
                          <a:solidFill>
                            <a:srgbClr val="E6433C"/>
                          </a:solidFill>
                          <a:miter lim="100000"/>
                        </a:ln>
                      </wps:spPr>
                      <wps:style>
                        <a:lnRef idx="1">
                          <a:srgbClr val="1BAAC6"/>
                        </a:lnRef>
                        <a:fillRef idx="0">
                          <a:srgbClr val="000000">
                            <a:alpha val="0"/>
                          </a:srgbClr>
                        </a:fillRef>
                        <a:effectRef idx="0">
                          <a:scrgbClr r="0" g="0" b="0"/>
                        </a:effectRef>
                        <a:fontRef idx="none"/>
                      </wps:style>
                      <wps:bodyPr/>
                    </wps:wsp>
                  </wpg:wgp>
                </a:graphicData>
              </a:graphic>
            </wp:anchor>
          </w:drawing>
        </mc:Choice>
        <mc:Fallback>
          <w:pict>
            <v:group w14:anchorId="3EE70A9D" id="Group 3315" o:spid="_x0000_s1026" style="position:absolute;margin-left:85.05pt;margin-top:786.15pt;width:423.3pt;height:1pt;z-index:251670528;mso-position-horizontal-relative:page;mso-position-vertical-relative:page" coordsize="53759,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">
              <v:shape id="Shape 3316" o:spid="_x0000_s1027" style="position:absolute;width:53759;height:0;visibility:visible;mso-wrap-style:square;v-text-anchor:top" coordsize="53759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aELcEA&#10;AADbAAAADwAAAGRycy9kb3ducmV2LnhtbERPTWvCQBC9F/oflin0VjdNsZXoKjUQ8Fa0gfY4Zsck&#10;JDsbdtcY/31XEHqbx/uc1WYyvRjJ+daygtdZAoK4srrlWkH5XbwsQPiArLG3TAqu5GGzfnxYYabt&#10;hfc0HkItYgj7DBU0IQyZlL5qyKCf2YE4cifrDIYIXS21w0sMN71Mk+RdGmw5NjQ4UN5Q1R3ORsHb&#10;l8k7d/zN7ah/tkU57+xHmSj1/DR9LkEEmsK/+O7e6Tg/hdsv8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WhC3BAAAA2wAAAA8AAAAAAAAAAAAAAAAAmAIAAGRycy9kb3du&#10;cmV2LnhtbFBLBQYAAAAABAAEAPUAAACGAwAAAAA=&#10;" path="m,l5375999,e" filled="f" strokecolor="#e6433c" strokeweight="1pt">
                <v:stroke miterlimit="1" joinstyle="miter"/>
                <v:path arrowok="t" textboxrect="0,0,5375999,0"/>
              </v:shape>
              <w10:wrap type="square" anchorx="page" anchory="page"/>
            </v:group>
          </w:pict>
        </mc:Fallback>
      </mc:AlternateContent>
    </w:r>
    <w:r>
      <w:rPr>
        <w:sz w:val="16"/>
      </w:rPr>
      <w:t xml:space="preserve">SIDE </w:t>
    </w:r>
    <w:r w:rsidRPr="00E41BC7">
      <w:rPr>
        <w:sz w:val="16"/>
      </w:rPr>
      <w:fldChar w:fldCharType="begin"/>
    </w:r>
    <w:r w:rsidRPr="00E41BC7">
      <w:rPr>
        <w:sz w:val="16"/>
      </w:rPr>
      <w:instrText>PAGE   \* MERGEFORMAT</w:instrText>
    </w:r>
    <w:r w:rsidRPr="00E41BC7">
      <w:rPr>
        <w:sz w:val="16"/>
      </w:rPr>
      <w:fldChar w:fldCharType="separate"/>
    </w:r>
    <w:r w:rsidR="006B5AC5">
      <w:rPr>
        <w:noProof/>
        <w:sz w:val="16"/>
      </w:rPr>
      <w:t>1</w:t>
    </w:r>
    <w:r w:rsidRPr="00E41BC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D35" w:rsidRDefault="00E25D35">
      <w:pPr>
        <w:spacing w:after="0" w:line="240" w:lineRule="auto"/>
      </w:pPr>
      <w:r>
        <w:separator/>
      </w:r>
    </w:p>
  </w:footnote>
  <w:footnote w:type="continuationSeparator" w:id="0">
    <w:p w:rsidR="00E25D35" w:rsidRDefault="00E25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D9" w:rsidRDefault="00E821D9">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C6E33"/>
    <w:multiLevelType w:val="hybridMultilevel"/>
    <w:tmpl w:val="CB04D966"/>
    <w:lvl w:ilvl="0" w:tplc="A34C044C">
      <w:start w:val="1"/>
      <w:numFmt w:val="bullet"/>
      <w:pStyle w:val="Punktopstil"/>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C4C6D92"/>
    <w:multiLevelType w:val="hybridMultilevel"/>
    <w:tmpl w:val="94B2E402"/>
    <w:lvl w:ilvl="0" w:tplc="B7E4307A">
      <w:start w:val="1"/>
      <w:numFmt w:val="bullet"/>
      <w:lvlText w:val="•"/>
      <w:lvlJc w:val="left"/>
      <w:pPr>
        <w:ind w:left="15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06FA1B4C">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8E06F156">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29F6503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CAC44482">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902C4D22">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99A0042C">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FB2364C">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6D2E0980">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12044E17"/>
    <w:multiLevelType w:val="hybridMultilevel"/>
    <w:tmpl w:val="3F620F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0202198"/>
    <w:multiLevelType w:val="hybridMultilevel"/>
    <w:tmpl w:val="ED58E6B8"/>
    <w:lvl w:ilvl="0" w:tplc="D12ADE40">
      <w:start w:val="1"/>
      <w:numFmt w:val="bullet"/>
      <w:lvlText w:val="•"/>
      <w:lvlJc w:val="left"/>
      <w:pPr>
        <w:ind w:left="15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C9AE9868">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6968166E">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DCDC9E18">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676E453E">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EE8AE870">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B24E03B2">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3CB8E17C">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E6FA9A4E">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22717024"/>
    <w:multiLevelType w:val="hybridMultilevel"/>
    <w:tmpl w:val="2FF652CA"/>
    <w:lvl w:ilvl="0" w:tplc="F444835E">
      <w:numFmt w:val="bullet"/>
      <w:lvlText w:val="-"/>
      <w:lvlJc w:val="left"/>
      <w:pPr>
        <w:ind w:left="405" w:hanging="360"/>
      </w:pPr>
      <w:rPr>
        <w:rFonts w:ascii="Calibri" w:eastAsiaTheme="minorHAnsi" w:hAnsi="Calibri" w:cs="Calibri" w:hint="default"/>
      </w:rPr>
    </w:lvl>
    <w:lvl w:ilvl="1" w:tplc="04060003" w:tentative="1">
      <w:start w:val="1"/>
      <w:numFmt w:val="bullet"/>
      <w:lvlText w:val="o"/>
      <w:lvlJc w:val="left"/>
      <w:pPr>
        <w:ind w:left="1125" w:hanging="360"/>
      </w:pPr>
      <w:rPr>
        <w:rFonts w:ascii="Courier New" w:hAnsi="Courier New" w:cs="Courier New" w:hint="default"/>
      </w:rPr>
    </w:lvl>
    <w:lvl w:ilvl="2" w:tplc="04060005" w:tentative="1">
      <w:start w:val="1"/>
      <w:numFmt w:val="bullet"/>
      <w:lvlText w:val=""/>
      <w:lvlJc w:val="left"/>
      <w:pPr>
        <w:ind w:left="1845" w:hanging="360"/>
      </w:pPr>
      <w:rPr>
        <w:rFonts w:ascii="Wingdings" w:hAnsi="Wingdings" w:hint="default"/>
      </w:rPr>
    </w:lvl>
    <w:lvl w:ilvl="3" w:tplc="04060001" w:tentative="1">
      <w:start w:val="1"/>
      <w:numFmt w:val="bullet"/>
      <w:lvlText w:val=""/>
      <w:lvlJc w:val="left"/>
      <w:pPr>
        <w:ind w:left="2565" w:hanging="360"/>
      </w:pPr>
      <w:rPr>
        <w:rFonts w:ascii="Symbol" w:hAnsi="Symbol" w:hint="default"/>
      </w:rPr>
    </w:lvl>
    <w:lvl w:ilvl="4" w:tplc="04060003" w:tentative="1">
      <w:start w:val="1"/>
      <w:numFmt w:val="bullet"/>
      <w:lvlText w:val="o"/>
      <w:lvlJc w:val="left"/>
      <w:pPr>
        <w:ind w:left="3285" w:hanging="360"/>
      </w:pPr>
      <w:rPr>
        <w:rFonts w:ascii="Courier New" w:hAnsi="Courier New" w:cs="Courier New" w:hint="default"/>
      </w:rPr>
    </w:lvl>
    <w:lvl w:ilvl="5" w:tplc="04060005" w:tentative="1">
      <w:start w:val="1"/>
      <w:numFmt w:val="bullet"/>
      <w:lvlText w:val=""/>
      <w:lvlJc w:val="left"/>
      <w:pPr>
        <w:ind w:left="4005" w:hanging="360"/>
      </w:pPr>
      <w:rPr>
        <w:rFonts w:ascii="Wingdings" w:hAnsi="Wingdings" w:hint="default"/>
      </w:rPr>
    </w:lvl>
    <w:lvl w:ilvl="6" w:tplc="04060001" w:tentative="1">
      <w:start w:val="1"/>
      <w:numFmt w:val="bullet"/>
      <w:lvlText w:val=""/>
      <w:lvlJc w:val="left"/>
      <w:pPr>
        <w:ind w:left="4725" w:hanging="360"/>
      </w:pPr>
      <w:rPr>
        <w:rFonts w:ascii="Symbol" w:hAnsi="Symbol" w:hint="default"/>
      </w:rPr>
    </w:lvl>
    <w:lvl w:ilvl="7" w:tplc="04060003" w:tentative="1">
      <w:start w:val="1"/>
      <w:numFmt w:val="bullet"/>
      <w:lvlText w:val="o"/>
      <w:lvlJc w:val="left"/>
      <w:pPr>
        <w:ind w:left="5445" w:hanging="360"/>
      </w:pPr>
      <w:rPr>
        <w:rFonts w:ascii="Courier New" w:hAnsi="Courier New" w:cs="Courier New" w:hint="default"/>
      </w:rPr>
    </w:lvl>
    <w:lvl w:ilvl="8" w:tplc="04060005" w:tentative="1">
      <w:start w:val="1"/>
      <w:numFmt w:val="bullet"/>
      <w:lvlText w:val=""/>
      <w:lvlJc w:val="left"/>
      <w:pPr>
        <w:ind w:left="6165" w:hanging="360"/>
      </w:pPr>
      <w:rPr>
        <w:rFonts w:ascii="Wingdings" w:hAnsi="Wingdings" w:hint="default"/>
      </w:rPr>
    </w:lvl>
  </w:abstractNum>
  <w:abstractNum w:abstractNumId="5" w15:restartNumberingAfterBreak="0">
    <w:nsid w:val="28E64BA4"/>
    <w:multiLevelType w:val="hybridMultilevel"/>
    <w:tmpl w:val="4B0EC2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99C7422"/>
    <w:multiLevelType w:val="hybridMultilevel"/>
    <w:tmpl w:val="26480DE2"/>
    <w:lvl w:ilvl="0" w:tplc="1CA40E3A">
      <w:start w:val="1"/>
      <w:numFmt w:val="bullet"/>
      <w:lvlText w:val="•"/>
      <w:lvlJc w:val="left"/>
      <w:pPr>
        <w:ind w:left="15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37E00C82">
      <w:start w:val="1"/>
      <w:numFmt w:val="bullet"/>
      <w:lvlText w:val="o"/>
      <w:lvlJc w:val="left"/>
      <w:pPr>
        <w:ind w:left="10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1C30A67A">
      <w:start w:val="1"/>
      <w:numFmt w:val="bullet"/>
      <w:lvlText w:val="▪"/>
      <w:lvlJc w:val="left"/>
      <w:pPr>
        <w:ind w:left="18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3D181F60">
      <w:start w:val="1"/>
      <w:numFmt w:val="bullet"/>
      <w:lvlText w:val="•"/>
      <w:lvlJc w:val="left"/>
      <w:pPr>
        <w:ind w:left="25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F27E6CAA">
      <w:start w:val="1"/>
      <w:numFmt w:val="bullet"/>
      <w:lvlText w:val="o"/>
      <w:lvlJc w:val="left"/>
      <w:pPr>
        <w:ind w:left="324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1386724A">
      <w:start w:val="1"/>
      <w:numFmt w:val="bullet"/>
      <w:lvlText w:val="▪"/>
      <w:lvlJc w:val="left"/>
      <w:pPr>
        <w:ind w:left="396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DFE84BEE">
      <w:start w:val="1"/>
      <w:numFmt w:val="bullet"/>
      <w:lvlText w:val="•"/>
      <w:lvlJc w:val="left"/>
      <w:pPr>
        <w:ind w:left="468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7298C46C">
      <w:start w:val="1"/>
      <w:numFmt w:val="bullet"/>
      <w:lvlText w:val="o"/>
      <w:lvlJc w:val="left"/>
      <w:pPr>
        <w:ind w:left="540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F0CE9818">
      <w:start w:val="1"/>
      <w:numFmt w:val="bullet"/>
      <w:lvlText w:val="▪"/>
      <w:lvlJc w:val="left"/>
      <w:pPr>
        <w:ind w:left="6120"/>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7" w15:restartNumberingAfterBreak="0">
    <w:nsid w:val="2CEC0D7E"/>
    <w:multiLevelType w:val="hybridMultilevel"/>
    <w:tmpl w:val="E306014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8" w15:restartNumberingAfterBreak="0">
    <w:nsid w:val="708B46C9"/>
    <w:multiLevelType w:val="hybridMultilevel"/>
    <w:tmpl w:val="B61245BC"/>
    <w:lvl w:ilvl="0" w:tplc="CA48BA1A">
      <w:start w:val="1"/>
      <w:numFmt w:val="bullet"/>
      <w:lvlText w:val="•"/>
      <w:lvlJc w:val="left"/>
      <w:pPr>
        <w:ind w:left="1551"/>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1" w:tplc="27BCE572">
      <w:start w:val="1"/>
      <w:numFmt w:val="bullet"/>
      <w:lvlText w:val="o"/>
      <w:lvlJc w:val="left"/>
      <w:pPr>
        <w:ind w:left="22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2" w:tplc="F49A4012">
      <w:start w:val="1"/>
      <w:numFmt w:val="bullet"/>
      <w:lvlText w:val="▪"/>
      <w:lvlJc w:val="left"/>
      <w:pPr>
        <w:ind w:left="29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3" w:tplc="61B6FAC4">
      <w:start w:val="1"/>
      <w:numFmt w:val="bullet"/>
      <w:lvlText w:val="•"/>
      <w:lvlJc w:val="left"/>
      <w:pPr>
        <w:ind w:left="37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4" w:tplc="B370863E">
      <w:start w:val="1"/>
      <w:numFmt w:val="bullet"/>
      <w:lvlText w:val="o"/>
      <w:lvlJc w:val="left"/>
      <w:pPr>
        <w:ind w:left="442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5" w:tplc="739A4A4A">
      <w:start w:val="1"/>
      <w:numFmt w:val="bullet"/>
      <w:lvlText w:val="▪"/>
      <w:lvlJc w:val="left"/>
      <w:pPr>
        <w:ind w:left="514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6" w:tplc="5FE4023C">
      <w:start w:val="1"/>
      <w:numFmt w:val="bullet"/>
      <w:lvlText w:val="•"/>
      <w:lvlJc w:val="left"/>
      <w:pPr>
        <w:ind w:left="586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7" w:tplc="F3AEF7A2">
      <w:start w:val="1"/>
      <w:numFmt w:val="bullet"/>
      <w:lvlText w:val="o"/>
      <w:lvlJc w:val="left"/>
      <w:pPr>
        <w:ind w:left="658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lvl w:ilvl="8" w:tplc="B89A801C">
      <w:start w:val="1"/>
      <w:numFmt w:val="bullet"/>
      <w:lvlText w:val="▪"/>
      <w:lvlJc w:val="left"/>
      <w:pPr>
        <w:ind w:left="7307"/>
      </w:pPr>
      <w:rPr>
        <w:rFonts w:ascii="Arial" w:eastAsia="Arial" w:hAnsi="Arial" w:cs="Arial"/>
        <w:b w:val="0"/>
        <w:i w:val="0"/>
        <w:strike w:val="0"/>
        <w:dstrike w:val="0"/>
        <w:color w:val="181717"/>
        <w:sz w:val="20"/>
        <w:szCs w:val="20"/>
        <w:u w:val="none" w:color="000000"/>
        <w:bdr w:val="none" w:sz="0" w:space="0" w:color="auto"/>
        <w:shd w:val="clear" w:color="auto" w:fill="auto"/>
        <w:vertAlign w:val="baseline"/>
      </w:rPr>
    </w:lvl>
  </w:abstractNum>
  <w:abstractNum w:abstractNumId="9" w15:restartNumberingAfterBreak="0">
    <w:nsid w:val="76FB5CDA"/>
    <w:multiLevelType w:val="hybridMultilevel"/>
    <w:tmpl w:val="9C2A82A0"/>
    <w:lvl w:ilvl="0" w:tplc="9D066A6E">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8"/>
  </w:num>
  <w:num w:numId="5">
    <w:abstractNumId w:val="0"/>
  </w:num>
  <w:num w:numId="6">
    <w:abstractNumId w:val="2"/>
  </w:num>
  <w:num w:numId="7">
    <w:abstractNumId w:val="5"/>
  </w:num>
  <w:num w:numId="8">
    <w:abstractNumId w:val="9"/>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D35"/>
    <w:rsid w:val="00001B6B"/>
    <w:rsid w:val="000122B4"/>
    <w:rsid w:val="000149B6"/>
    <w:rsid w:val="000B2964"/>
    <w:rsid w:val="000B65B9"/>
    <w:rsid w:val="000C33B8"/>
    <w:rsid w:val="00167ABB"/>
    <w:rsid w:val="001803F6"/>
    <w:rsid w:val="00184550"/>
    <w:rsid w:val="001C038A"/>
    <w:rsid w:val="001D3405"/>
    <w:rsid w:val="002251A0"/>
    <w:rsid w:val="002356DB"/>
    <w:rsid w:val="002B24E8"/>
    <w:rsid w:val="002F4539"/>
    <w:rsid w:val="00361A6F"/>
    <w:rsid w:val="00370B70"/>
    <w:rsid w:val="00463C44"/>
    <w:rsid w:val="00464D49"/>
    <w:rsid w:val="00492120"/>
    <w:rsid w:val="004B187A"/>
    <w:rsid w:val="00517FB1"/>
    <w:rsid w:val="00590B5C"/>
    <w:rsid w:val="00597E23"/>
    <w:rsid w:val="005C1308"/>
    <w:rsid w:val="00637B65"/>
    <w:rsid w:val="00663140"/>
    <w:rsid w:val="006B5AC5"/>
    <w:rsid w:val="006C31D3"/>
    <w:rsid w:val="006F487D"/>
    <w:rsid w:val="007056EE"/>
    <w:rsid w:val="0077307E"/>
    <w:rsid w:val="00775433"/>
    <w:rsid w:val="007E5C69"/>
    <w:rsid w:val="00803F77"/>
    <w:rsid w:val="00827FAE"/>
    <w:rsid w:val="00894A1D"/>
    <w:rsid w:val="008E52B6"/>
    <w:rsid w:val="008E5B98"/>
    <w:rsid w:val="009051C4"/>
    <w:rsid w:val="00923CEE"/>
    <w:rsid w:val="009E6FD9"/>
    <w:rsid w:val="00A428F5"/>
    <w:rsid w:val="00A8097E"/>
    <w:rsid w:val="00B42BD5"/>
    <w:rsid w:val="00B96CB4"/>
    <w:rsid w:val="00BE6B7A"/>
    <w:rsid w:val="00C3223A"/>
    <w:rsid w:val="00CE195E"/>
    <w:rsid w:val="00CF12B9"/>
    <w:rsid w:val="00D00452"/>
    <w:rsid w:val="00D27864"/>
    <w:rsid w:val="00D922D9"/>
    <w:rsid w:val="00D96A16"/>
    <w:rsid w:val="00DC5A69"/>
    <w:rsid w:val="00DD2159"/>
    <w:rsid w:val="00DD615E"/>
    <w:rsid w:val="00E229FD"/>
    <w:rsid w:val="00E25D35"/>
    <w:rsid w:val="00E41BC7"/>
    <w:rsid w:val="00E615FF"/>
    <w:rsid w:val="00E76896"/>
    <w:rsid w:val="00E821D9"/>
    <w:rsid w:val="00E95897"/>
    <w:rsid w:val="00E966A7"/>
    <w:rsid w:val="00EB30CB"/>
    <w:rsid w:val="00EC4928"/>
    <w:rsid w:val="00EE5803"/>
    <w:rsid w:val="00F11191"/>
    <w:rsid w:val="00F261C1"/>
    <w:rsid w:val="00F609F4"/>
    <w:rsid w:val="00F96B2C"/>
    <w:rsid w:val="00FB5A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8AC3A009-AF7E-46CE-BD42-2322FB589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D35"/>
    <w:pPr>
      <w:spacing w:line="256" w:lineRule="auto"/>
    </w:pPr>
    <w:rPr>
      <w:rFonts w:eastAsiaTheme="minorHAnsi"/>
      <w:lang w:eastAsia="en-US"/>
    </w:rPr>
  </w:style>
  <w:style w:type="paragraph" w:styleId="Overskrift1">
    <w:name w:val="heading 1"/>
    <w:aliases w:val="TopOverskrift"/>
    <w:next w:val="Normal"/>
    <w:link w:val="Overskrift1Tegn"/>
    <w:uiPriority w:val="9"/>
    <w:unhideWhenUsed/>
    <w:qFormat/>
    <w:rsid w:val="00001B6B"/>
    <w:pPr>
      <w:keepNext/>
      <w:keepLines/>
      <w:spacing w:after="846"/>
      <w:outlineLvl w:val="0"/>
    </w:pPr>
    <w:rPr>
      <w:rFonts w:ascii="Arial" w:eastAsia="Arial" w:hAnsi="Arial" w:cs="Arial"/>
      <w:b/>
      <w:caps/>
      <w:color w:val="E6433C"/>
      <w:sz w:val="57"/>
    </w:rPr>
  </w:style>
  <w:style w:type="paragraph" w:styleId="Overskrift2">
    <w:name w:val="heading 2"/>
    <w:aliases w:val="Opgave"/>
    <w:next w:val="Normal"/>
    <w:link w:val="Overskrift2Tegn"/>
    <w:uiPriority w:val="9"/>
    <w:unhideWhenUsed/>
    <w:qFormat/>
    <w:rsid w:val="009E6FD9"/>
    <w:pPr>
      <w:keepNext/>
      <w:keepLines/>
      <w:spacing w:after="40" w:line="300" w:lineRule="auto"/>
      <w:outlineLvl w:val="1"/>
    </w:pPr>
    <w:rPr>
      <w:rFonts w:ascii="Arial" w:eastAsia="Arial" w:hAnsi="Arial" w:cs="Arial"/>
      <w:b/>
      <w:color w:val="E6433C"/>
      <w:sz w:val="28"/>
    </w:rPr>
  </w:style>
  <w:style w:type="paragraph" w:styleId="Overskrift3">
    <w:name w:val="heading 3"/>
    <w:next w:val="Normal"/>
    <w:link w:val="Overskrift3Tegn"/>
    <w:uiPriority w:val="9"/>
    <w:unhideWhenUsed/>
    <w:pPr>
      <w:keepNext/>
      <w:keepLines/>
      <w:spacing w:after="47" w:line="265" w:lineRule="auto"/>
      <w:ind w:left="1216" w:hanging="10"/>
      <w:outlineLvl w:val="2"/>
    </w:pPr>
    <w:rPr>
      <w:rFonts w:ascii="Arial" w:eastAsia="Arial" w:hAnsi="Arial" w:cs="Arial"/>
      <w:b/>
      <w:color w:val="181717"/>
      <w:sz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TopOverskrift Tegn"/>
    <w:link w:val="Overskrift1"/>
    <w:uiPriority w:val="9"/>
    <w:rsid w:val="00001B6B"/>
    <w:rPr>
      <w:rFonts w:ascii="Arial" w:eastAsia="Arial" w:hAnsi="Arial" w:cs="Arial"/>
      <w:b/>
      <w:caps/>
      <w:color w:val="E6433C"/>
      <w:sz w:val="57"/>
    </w:rPr>
  </w:style>
  <w:style w:type="character" w:customStyle="1" w:styleId="Overskrift3Tegn">
    <w:name w:val="Overskrift 3 Tegn"/>
    <w:link w:val="Overskrift3"/>
    <w:rPr>
      <w:rFonts w:ascii="Arial" w:eastAsia="Arial" w:hAnsi="Arial" w:cs="Arial"/>
      <w:b/>
      <w:color w:val="181717"/>
      <w:sz w:val="20"/>
    </w:rPr>
  </w:style>
  <w:style w:type="character" w:customStyle="1" w:styleId="Overskrift2Tegn">
    <w:name w:val="Overskrift 2 Tegn"/>
    <w:aliases w:val="Opgave Tegn"/>
    <w:link w:val="Overskrift2"/>
    <w:uiPriority w:val="9"/>
    <w:rsid w:val="009E6FD9"/>
    <w:rPr>
      <w:rFonts w:ascii="Arial" w:eastAsia="Arial" w:hAnsi="Arial" w:cs="Arial"/>
      <w:b/>
      <w:color w:val="E6433C"/>
      <w:sz w:val="28"/>
    </w:rPr>
  </w:style>
  <w:style w:type="paragraph" w:styleId="Markeringsbobletekst">
    <w:name w:val="Balloon Text"/>
    <w:basedOn w:val="Normal"/>
    <w:link w:val="MarkeringsbobletekstTegn"/>
    <w:uiPriority w:val="99"/>
    <w:semiHidden/>
    <w:unhideWhenUsed/>
    <w:rsid w:val="007754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75433"/>
    <w:rPr>
      <w:rFonts w:ascii="Segoe UI" w:eastAsia="Arial" w:hAnsi="Segoe UI" w:cs="Segoe UI"/>
      <w:color w:val="181717"/>
      <w:sz w:val="18"/>
      <w:szCs w:val="18"/>
    </w:rPr>
  </w:style>
  <w:style w:type="paragraph" w:styleId="Sidefod">
    <w:name w:val="footer"/>
    <w:basedOn w:val="Normal"/>
    <w:link w:val="SidefodTegn"/>
    <w:uiPriority w:val="99"/>
    <w:unhideWhenUsed/>
    <w:rsid w:val="007E5C6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5C69"/>
    <w:rPr>
      <w:rFonts w:ascii="Arial" w:eastAsia="Arial" w:hAnsi="Arial" w:cs="Arial"/>
      <w:color w:val="181717"/>
      <w:sz w:val="20"/>
    </w:rPr>
  </w:style>
  <w:style w:type="paragraph" w:styleId="Sidehoved">
    <w:name w:val="header"/>
    <w:basedOn w:val="Normal"/>
    <w:link w:val="SidehovedTegn"/>
    <w:uiPriority w:val="99"/>
    <w:unhideWhenUsed/>
    <w:rsid w:val="007E5C6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5C69"/>
    <w:rPr>
      <w:rFonts w:ascii="Arial" w:eastAsia="Arial" w:hAnsi="Arial" w:cs="Arial"/>
      <w:color w:val="181717"/>
      <w:sz w:val="20"/>
    </w:rPr>
  </w:style>
  <w:style w:type="paragraph" w:customStyle="1" w:styleId="RubrikMellem">
    <w:name w:val="RubrikMellem"/>
    <w:basedOn w:val="Overskrift3"/>
    <w:next w:val="Normal"/>
    <w:link w:val="RubrikMellemTegn"/>
    <w:qFormat/>
    <w:rsid w:val="009E6FD9"/>
    <w:pPr>
      <w:spacing w:after="40" w:line="300" w:lineRule="auto"/>
      <w:ind w:left="0" w:firstLine="0"/>
    </w:pPr>
    <w:rPr>
      <w:lang w:val="en-US"/>
    </w:rPr>
  </w:style>
  <w:style w:type="paragraph" w:styleId="Listeafsnit">
    <w:name w:val="List Paragraph"/>
    <w:basedOn w:val="Normal"/>
    <w:link w:val="ListeafsnitTegn"/>
    <w:uiPriority w:val="34"/>
    <w:qFormat/>
    <w:rsid w:val="00001B6B"/>
    <w:pPr>
      <w:ind w:left="720"/>
      <w:contextualSpacing/>
    </w:pPr>
  </w:style>
  <w:style w:type="character" w:customStyle="1" w:styleId="RubrikMellemTegn">
    <w:name w:val="RubrikMellem Tegn"/>
    <w:basedOn w:val="Overskrift3Tegn"/>
    <w:link w:val="RubrikMellem"/>
    <w:rsid w:val="009E6FD9"/>
    <w:rPr>
      <w:rFonts w:ascii="Arial" w:eastAsia="Arial" w:hAnsi="Arial" w:cs="Arial"/>
      <w:b/>
      <w:color w:val="181717"/>
      <w:sz w:val="20"/>
      <w:lang w:val="en-US"/>
    </w:rPr>
  </w:style>
  <w:style w:type="paragraph" w:customStyle="1" w:styleId="Punktopstil">
    <w:name w:val="Punktopstil"/>
    <w:basedOn w:val="Listeafsnit"/>
    <w:link w:val="PunktopstilTegn"/>
    <w:qFormat/>
    <w:rsid w:val="00001B6B"/>
    <w:pPr>
      <w:numPr>
        <w:numId w:val="5"/>
      </w:numPr>
      <w:ind w:left="340" w:hanging="340"/>
    </w:pPr>
  </w:style>
  <w:style w:type="character" w:customStyle="1" w:styleId="ListeafsnitTegn">
    <w:name w:val="Listeafsnit Tegn"/>
    <w:basedOn w:val="Standardskrifttypeiafsnit"/>
    <w:link w:val="Listeafsnit"/>
    <w:uiPriority w:val="34"/>
    <w:rsid w:val="00001B6B"/>
    <w:rPr>
      <w:rFonts w:ascii="Arial" w:eastAsia="Arial" w:hAnsi="Arial" w:cs="Arial"/>
      <w:color w:val="181717"/>
      <w:sz w:val="20"/>
    </w:rPr>
  </w:style>
  <w:style w:type="character" w:customStyle="1" w:styleId="PunktopstilTegn">
    <w:name w:val="Punktopstil Tegn"/>
    <w:basedOn w:val="ListeafsnitTegn"/>
    <w:link w:val="Punktopstil"/>
    <w:rsid w:val="00001B6B"/>
    <w:rPr>
      <w:rFonts w:ascii="Arial" w:eastAsia="Arial" w:hAnsi="Arial" w:cs="Arial"/>
      <w:color w:val="181717"/>
      <w:sz w:val="20"/>
    </w:rPr>
  </w:style>
  <w:style w:type="character" w:styleId="Kommentarhenvisning">
    <w:name w:val="annotation reference"/>
    <w:basedOn w:val="Standardskrifttypeiafsnit"/>
    <w:uiPriority w:val="99"/>
    <w:semiHidden/>
    <w:unhideWhenUsed/>
    <w:rsid w:val="00E25D35"/>
    <w:rPr>
      <w:sz w:val="16"/>
      <w:szCs w:val="16"/>
    </w:rPr>
  </w:style>
  <w:style w:type="paragraph" w:styleId="Kommentartekst">
    <w:name w:val="annotation text"/>
    <w:basedOn w:val="Normal"/>
    <w:link w:val="KommentartekstTegn"/>
    <w:uiPriority w:val="99"/>
    <w:semiHidden/>
    <w:unhideWhenUsed/>
    <w:rsid w:val="00E25D35"/>
    <w:pPr>
      <w:spacing w:line="240" w:lineRule="auto"/>
    </w:pPr>
    <w:rPr>
      <w:szCs w:val="20"/>
    </w:rPr>
  </w:style>
  <w:style w:type="character" w:customStyle="1" w:styleId="KommentartekstTegn">
    <w:name w:val="Kommentartekst Tegn"/>
    <w:basedOn w:val="Standardskrifttypeiafsnit"/>
    <w:link w:val="Kommentartekst"/>
    <w:uiPriority w:val="99"/>
    <w:semiHidden/>
    <w:rsid w:val="00E25D35"/>
    <w:rPr>
      <w:rFonts w:eastAsiaTheme="minorHAnsi"/>
      <w:sz w:val="20"/>
      <w:szCs w:val="20"/>
      <w:lang w:eastAsia="en-US"/>
    </w:rPr>
  </w:style>
  <w:style w:type="character" w:styleId="Hyperlink">
    <w:name w:val="Hyperlink"/>
    <w:basedOn w:val="Standardskrifttypeiafsnit"/>
    <w:uiPriority w:val="99"/>
    <w:unhideWhenUsed/>
    <w:rsid w:val="00E25D35"/>
    <w:rPr>
      <w:color w:val="0563C1" w:themeColor="hyperlink"/>
      <w:u w:val="single"/>
    </w:rPr>
  </w:style>
  <w:style w:type="paragraph" w:customStyle="1" w:styleId="Default">
    <w:name w:val="Default"/>
    <w:rsid w:val="00E25D35"/>
    <w:pPr>
      <w:autoSpaceDE w:val="0"/>
      <w:autoSpaceDN w:val="0"/>
      <w:adjustRightInd w:val="0"/>
      <w:spacing w:after="0" w:line="240" w:lineRule="auto"/>
    </w:pPr>
    <w:rPr>
      <w:rFonts w:ascii="Arial" w:eastAsiaTheme="minorHAnsi" w:hAnsi="Arial" w:cs="Arial"/>
      <w:color w:val="000000"/>
      <w:sz w:val="24"/>
      <w:szCs w:val="24"/>
      <w:lang w:eastAsia="en-US"/>
    </w:rPr>
  </w:style>
  <w:style w:type="table" w:styleId="Tabel-Gitter">
    <w:name w:val="Table Grid"/>
    <w:basedOn w:val="Tabel-Normal"/>
    <w:uiPriority w:val="39"/>
    <w:rsid w:val="00E25D3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dk/samling/20142/raadsmoede/556313/bilag/1/155126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u.dk/samling/20151/almdel/EUU/bilag/94/1567181.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SkabelonWin10\INT\EU-OPGAVER.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EU-OPGAVER.dotx</Template>
  <TotalTime>1</TotalTime>
  <Pages>3</Pages>
  <Words>1015</Words>
  <Characters>6195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Folketinget</Company>
  <LinksUpToDate>false</LinksUpToDate>
  <CharactersWithSpaces>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Ægidius Qvist</dc:creator>
  <cp:keywords/>
  <cp:lastModifiedBy>Bodil Marsden</cp:lastModifiedBy>
  <cp:revision>6</cp:revision>
  <dcterms:created xsi:type="dcterms:W3CDTF">2018-05-03T13:00:00Z</dcterms:created>
  <dcterms:modified xsi:type="dcterms:W3CDTF">2018-05-03T13:11:00Z</dcterms:modified>
</cp:coreProperties>
</file>